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E9B8D0" w14:textId="0E2BCE76" w:rsidR="00B450F4" w:rsidRPr="00D166E5" w:rsidRDefault="00B450F4" w:rsidP="00B450F4">
      <w:pPr>
        <w:jc w:val="both"/>
        <w:rPr>
          <w:rFonts w:ascii="Arial" w:eastAsia="Calibri" w:hAnsi="Arial" w:cs="Arial"/>
          <w:b/>
          <w:bCs/>
          <w:lang w:val="es-ES"/>
        </w:rPr>
      </w:pPr>
    </w:p>
    <w:tbl>
      <w:tblPr>
        <w:tblStyle w:val="TableGrid"/>
        <w:tblW w:w="10178" w:type="dxa"/>
        <w:tblInd w:w="-5" w:type="dxa"/>
        <w:tblLook w:val="04A0" w:firstRow="1" w:lastRow="0" w:firstColumn="1" w:lastColumn="0" w:noHBand="0" w:noVBand="1"/>
      </w:tblPr>
      <w:tblGrid>
        <w:gridCol w:w="1985"/>
        <w:gridCol w:w="1984"/>
        <w:gridCol w:w="3799"/>
        <w:gridCol w:w="2410"/>
      </w:tblGrid>
      <w:tr w:rsidR="00B450F4" w:rsidRPr="00D166E5" w14:paraId="3048CECE" w14:textId="77777777" w:rsidTr="006D6794">
        <w:tc>
          <w:tcPr>
            <w:tcW w:w="1985" w:type="dxa"/>
            <w:shd w:val="clear" w:color="auto" w:fill="0070C0"/>
            <w:vAlign w:val="center"/>
          </w:tcPr>
          <w:p w14:paraId="4263D370"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Dominio (s)</w:t>
            </w:r>
          </w:p>
        </w:tc>
        <w:tc>
          <w:tcPr>
            <w:tcW w:w="1984" w:type="dxa"/>
            <w:shd w:val="clear" w:color="auto" w:fill="0070C0"/>
            <w:vAlign w:val="center"/>
          </w:tcPr>
          <w:p w14:paraId="0AB33B4B"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Principio(s)</w:t>
            </w:r>
          </w:p>
        </w:tc>
        <w:tc>
          <w:tcPr>
            <w:tcW w:w="3799" w:type="dxa"/>
            <w:shd w:val="clear" w:color="auto" w:fill="0070C0"/>
            <w:vAlign w:val="center"/>
          </w:tcPr>
          <w:p w14:paraId="40585BA5" w14:textId="77777777"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Norma(s)</w:t>
            </w:r>
          </w:p>
        </w:tc>
        <w:tc>
          <w:tcPr>
            <w:tcW w:w="2410" w:type="dxa"/>
            <w:shd w:val="clear" w:color="auto" w:fill="0070C0"/>
            <w:vAlign w:val="center"/>
          </w:tcPr>
          <w:p w14:paraId="18C09CB7" w14:textId="279BDEFE" w:rsidR="00B450F4" w:rsidRPr="00D166E5" w:rsidRDefault="00B450F4" w:rsidP="006D6794">
            <w:pPr>
              <w:jc w:val="center"/>
              <w:rPr>
                <w:rFonts w:ascii="Arial" w:eastAsia="Calibri" w:hAnsi="Arial" w:cs="Arial"/>
                <w:color w:val="FFFFFF"/>
                <w:lang w:val="es-ES"/>
              </w:rPr>
            </w:pPr>
            <w:r w:rsidRPr="00D166E5">
              <w:rPr>
                <w:rFonts w:ascii="Arial" w:eastAsia="Calibri" w:hAnsi="Arial" w:cs="Arial"/>
                <w:color w:val="FFFFFF"/>
                <w:lang w:val="es-ES"/>
              </w:rPr>
              <w:t>Documentos CAIGG relacionados</w:t>
            </w:r>
          </w:p>
        </w:tc>
      </w:tr>
      <w:tr w:rsidR="00B450F4" w:rsidRPr="00D166E5" w14:paraId="314720BC" w14:textId="77777777" w:rsidTr="00F57048">
        <w:trPr>
          <w:trHeight w:val="380"/>
        </w:trPr>
        <w:tc>
          <w:tcPr>
            <w:tcW w:w="1985" w:type="dxa"/>
            <w:vMerge w:val="restart"/>
          </w:tcPr>
          <w:p w14:paraId="743282C2" w14:textId="77777777" w:rsidR="00B450F4" w:rsidRDefault="00B450F4" w:rsidP="007437F1">
            <w:pPr>
              <w:jc w:val="both"/>
              <w:rPr>
                <w:rFonts w:ascii="Arial" w:eastAsia="Calibri" w:hAnsi="Arial" w:cs="Arial"/>
                <w:lang w:val="es-ES"/>
              </w:rPr>
            </w:pPr>
          </w:p>
          <w:p w14:paraId="50CF4915" w14:textId="77777777" w:rsidR="00B450F4" w:rsidRPr="00D166E5" w:rsidRDefault="00B450F4" w:rsidP="007437F1">
            <w:pPr>
              <w:jc w:val="both"/>
              <w:rPr>
                <w:rFonts w:ascii="Arial" w:eastAsia="Calibri" w:hAnsi="Arial" w:cs="Arial"/>
                <w:lang w:val="es-ES"/>
              </w:rPr>
            </w:pPr>
          </w:p>
          <w:p w14:paraId="3B33872A"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Dominio II: Ética y profesionalidad</w:t>
            </w:r>
          </w:p>
        </w:tc>
        <w:tc>
          <w:tcPr>
            <w:tcW w:w="1984" w:type="dxa"/>
            <w:vMerge w:val="restart"/>
          </w:tcPr>
          <w:p w14:paraId="42D53C9C" w14:textId="77777777" w:rsidR="00B450F4" w:rsidRPr="00D166E5" w:rsidRDefault="00B450F4" w:rsidP="007437F1">
            <w:pPr>
              <w:jc w:val="center"/>
              <w:rPr>
                <w:rFonts w:ascii="Arial" w:eastAsia="Calibri" w:hAnsi="Arial" w:cs="Arial"/>
                <w:lang w:val="es-ES"/>
              </w:rPr>
            </w:pPr>
          </w:p>
          <w:p w14:paraId="09830B29" w14:textId="77777777" w:rsidR="00B450F4" w:rsidRPr="00D166E5" w:rsidRDefault="00B450F4" w:rsidP="007437F1">
            <w:pPr>
              <w:jc w:val="center"/>
              <w:rPr>
                <w:rFonts w:ascii="Arial" w:eastAsia="Calibri" w:hAnsi="Arial" w:cs="Arial"/>
                <w:lang w:val="es-ES"/>
              </w:rPr>
            </w:pPr>
            <w:r w:rsidRPr="00D166E5">
              <w:rPr>
                <w:rFonts w:ascii="Arial" w:eastAsia="Calibri" w:hAnsi="Arial" w:cs="Arial"/>
                <w:lang w:val="es-ES"/>
              </w:rPr>
              <w:t>Principio 2: Mantener la objetividad</w:t>
            </w:r>
          </w:p>
        </w:tc>
        <w:tc>
          <w:tcPr>
            <w:tcW w:w="3799" w:type="dxa"/>
          </w:tcPr>
          <w:p w14:paraId="034FD93F" w14:textId="77777777" w:rsidR="00B450F4" w:rsidRPr="00D166E5" w:rsidRDefault="00B450F4" w:rsidP="007437F1">
            <w:pPr>
              <w:jc w:val="both"/>
              <w:rPr>
                <w:rFonts w:ascii="Arial" w:eastAsia="Calibri" w:hAnsi="Arial" w:cs="Arial"/>
                <w:lang w:val="es-ES"/>
              </w:rPr>
            </w:pPr>
            <w:r w:rsidRPr="00D166E5">
              <w:rPr>
                <w:rFonts w:ascii="Arial" w:eastAsia="Calibri" w:hAnsi="Arial" w:cs="Arial"/>
                <w:lang w:val="es-ES"/>
              </w:rPr>
              <w:t>2.1: Objetividad Individual</w:t>
            </w:r>
          </w:p>
        </w:tc>
        <w:tc>
          <w:tcPr>
            <w:tcW w:w="2410" w:type="dxa"/>
            <w:vAlign w:val="center"/>
          </w:tcPr>
          <w:p w14:paraId="294E05F4" w14:textId="77777777" w:rsidR="00B450F4" w:rsidRPr="00D166E5" w:rsidRDefault="00B450F4" w:rsidP="00F57048">
            <w:pPr>
              <w:jc w:val="center"/>
              <w:rPr>
                <w:rFonts w:ascii="Arial" w:eastAsia="Calibri" w:hAnsi="Arial" w:cs="Arial"/>
                <w:lang w:val="es-ES"/>
              </w:rPr>
            </w:pPr>
            <w:r w:rsidRPr="00D166E5">
              <w:rPr>
                <w:rFonts w:ascii="Arial" w:eastAsia="Calibri" w:hAnsi="Arial" w:cs="Arial"/>
                <w:lang w:val="es-ES"/>
              </w:rPr>
              <w:t>……</w:t>
            </w:r>
          </w:p>
        </w:tc>
      </w:tr>
      <w:tr w:rsidR="00F57048" w:rsidRPr="00D166E5" w14:paraId="70DD528E" w14:textId="77777777" w:rsidTr="00F57048">
        <w:trPr>
          <w:trHeight w:val="398"/>
        </w:trPr>
        <w:tc>
          <w:tcPr>
            <w:tcW w:w="1985" w:type="dxa"/>
            <w:vMerge/>
          </w:tcPr>
          <w:p w14:paraId="10BF9488" w14:textId="77777777" w:rsidR="00F57048" w:rsidRPr="00D166E5" w:rsidRDefault="00F57048" w:rsidP="00F57048">
            <w:pPr>
              <w:jc w:val="both"/>
              <w:rPr>
                <w:rFonts w:ascii="Arial" w:eastAsia="Calibri" w:hAnsi="Arial" w:cs="Arial"/>
                <w:lang w:val="es-ES"/>
              </w:rPr>
            </w:pPr>
          </w:p>
        </w:tc>
        <w:tc>
          <w:tcPr>
            <w:tcW w:w="1984" w:type="dxa"/>
            <w:vMerge/>
          </w:tcPr>
          <w:p w14:paraId="20B1DCC8" w14:textId="77777777" w:rsidR="00F57048" w:rsidRPr="00D166E5" w:rsidRDefault="00F57048" w:rsidP="00F57048">
            <w:pPr>
              <w:jc w:val="center"/>
              <w:rPr>
                <w:rFonts w:ascii="Arial" w:eastAsia="Calibri" w:hAnsi="Arial" w:cs="Arial"/>
                <w:lang w:val="es-ES"/>
              </w:rPr>
            </w:pPr>
          </w:p>
        </w:tc>
        <w:tc>
          <w:tcPr>
            <w:tcW w:w="3799" w:type="dxa"/>
          </w:tcPr>
          <w:p w14:paraId="626FA10C" w14:textId="77777777" w:rsidR="00F57048" w:rsidRPr="00D166E5" w:rsidRDefault="00F57048" w:rsidP="00F57048">
            <w:pPr>
              <w:jc w:val="both"/>
              <w:rPr>
                <w:rFonts w:ascii="Arial" w:eastAsia="Calibri" w:hAnsi="Arial" w:cs="Arial"/>
                <w:lang w:val="es-ES"/>
              </w:rPr>
            </w:pPr>
            <w:r w:rsidRPr="00D166E5">
              <w:rPr>
                <w:rFonts w:ascii="Arial" w:eastAsia="Calibri" w:hAnsi="Arial" w:cs="Arial"/>
                <w:lang w:val="es-ES"/>
              </w:rPr>
              <w:t>2.2: Salvaguardar la Objetividad</w:t>
            </w:r>
          </w:p>
        </w:tc>
        <w:tc>
          <w:tcPr>
            <w:tcW w:w="2410" w:type="dxa"/>
            <w:vAlign w:val="center"/>
          </w:tcPr>
          <w:p w14:paraId="6F8232A2" w14:textId="2619785C" w:rsidR="00F57048" w:rsidRPr="00D166E5" w:rsidRDefault="00F57048" w:rsidP="00F57048">
            <w:pPr>
              <w:jc w:val="center"/>
              <w:rPr>
                <w:rFonts w:ascii="Arial" w:eastAsia="Calibri" w:hAnsi="Arial" w:cs="Arial"/>
                <w:lang w:val="es-ES"/>
              </w:rPr>
            </w:pPr>
            <w:r w:rsidRPr="008F5111">
              <w:rPr>
                <w:rFonts w:ascii="Arial" w:eastAsia="Calibri" w:hAnsi="Arial" w:cs="Arial"/>
                <w:lang w:val="es-ES"/>
              </w:rPr>
              <w:t>……</w:t>
            </w:r>
          </w:p>
        </w:tc>
      </w:tr>
      <w:tr w:rsidR="00F57048" w:rsidRPr="00D166E5" w14:paraId="35E64223" w14:textId="77777777" w:rsidTr="00F57048">
        <w:trPr>
          <w:trHeight w:val="843"/>
        </w:trPr>
        <w:tc>
          <w:tcPr>
            <w:tcW w:w="1985" w:type="dxa"/>
            <w:vMerge/>
          </w:tcPr>
          <w:p w14:paraId="75B50C64" w14:textId="77777777" w:rsidR="00F57048" w:rsidRPr="00D166E5" w:rsidRDefault="00F57048" w:rsidP="00F57048">
            <w:pPr>
              <w:jc w:val="both"/>
              <w:rPr>
                <w:rFonts w:ascii="Arial" w:eastAsia="Calibri" w:hAnsi="Arial" w:cs="Arial"/>
                <w:lang w:val="es-ES"/>
              </w:rPr>
            </w:pPr>
          </w:p>
        </w:tc>
        <w:tc>
          <w:tcPr>
            <w:tcW w:w="1984" w:type="dxa"/>
            <w:vMerge/>
          </w:tcPr>
          <w:p w14:paraId="3DA94D71" w14:textId="77777777" w:rsidR="00F57048" w:rsidRPr="00D166E5" w:rsidRDefault="00F57048" w:rsidP="00F57048">
            <w:pPr>
              <w:jc w:val="center"/>
              <w:rPr>
                <w:rFonts w:ascii="Arial" w:eastAsia="Calibri" w:hAnsi="Arial" w:cs="Arial"/>
                <w:lang w:val="es-ES"/>
              </w:rPr>
            </w:pPr>
          </w:p>
        </w:tc>
        <w:tc>
          <w:tcPr>
            <w:tcW w:w="3799" w:type="dxa"/>
          </w:tcPr>
          <w:p w14:paraId="230CBE4C" w14:textId="77777777" w:rsidR="00F57048" w:rsidRPr="00D166E5" w:rsidRDefault="00F57048" w:rsidP="00F57048">
            <w:pPr>
              <w:jc w:val="both"/>
              <w:rPr>
                <w:rFonts w:ascii="Arial" w:eastAsia="Calibri" w:hAnsi="Arial" w:cs="Arial"/>
                <w:lang w:val="es-ES"/>
              </w:rPr>
            </w:pPr>
            <w:r w:rsidRPr="00D166E5">
              <w:rPr>
                <w:rFonts w:ascii="Arial" w:eastAsia="Calibri" w:hAnsi="Arial" w:cs="Arial"/>
                <w:lang w:val="es-ES"/>
              </w:rPr>
              <w:t>2.3: Declarar los impedimentos a la objetividad</w:t>
            </w:r>
          </w:p>
        </w:tc>
        <w:tc>
          <w:tcPr>
            <w:tcW w:w="2410" w:type="dxa"/>
            <w:vAlign w:val="center"/>
          </w:tcPr>
          <w:p w14:paraId="3AED1FB5" w14:textId="3A2B199E" w:rsidR="00F57048" w:rsidRPr="00D166E5" w:rsidRDefault="00F57048" w:rsidP="00F57048">
            <w:pPr>
              <w:jc w:val="center"/>
              <w:rPr>
                <w:rFonts w:ascii="Arial" w:eastAsia="Calibri" w:hAnsi="Arial" w:cs="Arial"/>
                <w:lang w:val="es-ES"/>
              </w:rPr>
            </w:pPr>
            <w:r w:rsidRPr="008F5111">
              <w:rPr>
                <w:rFonts w:ascii="Arial" w:eastAsia="Calibri" w:hAnsi="Arial" w:cs="Arial"/>
                <w:lang w:val="es-ES"/>
              </w:rPr>
              <w:t>……</w:t>
            </w:r>
          </w:p>
        </w:tc>
      </w:tr>
      <w:tr w:rsidR="00F57048" w:rsidRPr="00D166E5" w14:paraId="529657FC" w14:textId="77777777" w:rsidTr="00F57048">
        <w:trPr>
          <w:trHeight w:val="843"/>
        </w:trPr>
        <w:tc>
          <w:tcPr>
            <w:tcW w:w="1985" w:type="dxa"/>
            <w:vAlign w:val="center"/>
          </w:tcPr>
          <w:p w14:paraId="596A1C8F" w14:textId="77777777" w:rsidR="00F57048" w:rsidRPr="00104E6D" w:rsidRDefault="00F57048" w:rsidP="00F57048">
            <w:pPr>
              <w:jc w:val="center"/>
              <w:rPr>
                <w:rFonts w:ascii="Arial" w:eastAsia="Calibri" w:hAnsi="Arial" w:cs="Arial"/>
                <w:lang w:val="es-ES"/>
              </w:rPr>
            </w:pPr>
            <w:r w:rsidRPr="00104E6D">
              <w:rPr>
                <w:rFonts w:ascii="Arial" w:eastAsia="Calibri" w:hAnsi="Arial" w:cs="Arial"/>
                <w:lang w:val="es-ES"/>
              </w:rPr>
              <w:t>Dominio IV:</w:t>
            </w:r>
          </w:p>
          <w:p w14:paraId="56D6871E" w14:textId="77777777" w:rsidR="00F57048" w:rsidRPr="00104E6D" w:rsidRDefault="00F57048" w:rsidP="00F57048">
            <w:pPr>
              <w:jc w:val="center"/>
              <w:rPr>
                <w:rFonts w:ascii="Arial" w:eastAsia="Calibri" w:hAnsi="Arial" w:cs="Arial"/>
                <w:lang w:val="es-ES"/>
              </w:rPr>
            </w:pPr>
            <w:r w:rsidRPr="00104E6D">
              <w:rPr>
                <w:rFonts w:ascii="Arial" w:eastAsia="Calibri" w:hAnsi="Arial" w:cs="Arial"/>
                <w:lang w:val="es-ES"/>
              </w:rPr>
              <w:t>Gestión de la Función</w:t>
            </w:r>
          </w:p>
          <w:p w14:paraId="3CE460C3" w14:textId="7F0A7CAF" w:rsidR="00F57048" w:rsidRPr="00D166E5" w:rsidRDefault="00F57048" w:rsidP="00F57048">
            <w:pPr>
              <w:jc w:val="center"/>
              <w:rPr>
                <w:rFonts w:ascii="Arial" w:eastAsia="Calibri" w:hAnsi="Arial" w:cs="Arial"/>
                <w:lang w:val="es-ES"/>
              </w:rPr>
            </w:pPr>
            <w:r w:rsidRPr="00104E6D">
              <w:rPr>
                <w:rFonts w:ascii="Arial" w:eastAsia="Calibri" w:hAnsi="Arial" w:cs="Arial"/>
                <w:lang w:val="es-ES"/>
              </w:rPr>
              <w:t>de Auditoría Interna</w:t>
            </w:r>
          </w:p>
        </w:tc>
        <w:tc>
          <w:tcPr>
            <w:tcW w:w="1984" w:type="dxa"/>
            <w:vAlign w:val="center"/>
          </w:tcPr>
          <w:p w14:paraId="2060F24E" w14:textId="505E5044" w:rsidR="00F57048" w:rsidRPr="00D166E5" w:rsidRDefault="00F57048" w:rsidP="00F57048">
            <w:pPr>
              <w:jc w:val="center"/>
              <w:rPr>
                <w:rFonts w:ascii="Arial" w:eastAsia="Calibri" w:hAnsi="Arial" w:cs="Arial"/>
                <w:lang w:val="es-ES"/>
              </w:rPr>
            </w:pPr>
            <w:r w:rsidRPr="00487937">
              <w:rPr>
                <w:rFonts w:ascii="Arial" w:eastAsia="Calibri" w:hAnsi="Arial" w:cs="Arial"/>
                <w:lang w:val="es-ES"/>
              </w:rPr>
              <w:t>Principio 9 Planificar estratégicamente</w:t>
            </w:r>
          </w:p>
        </w:tc>
        <w:tc>
          <w:tcPr>
            <w:tcW w:w="3799" w:type="dxa"/>
            <w:vAlign w:val="center"/>
          </w:tcPr>
          <w:p w14:paraId="423C6F88" w14:textId="4D3A22EF" w:rsidR="00F57048" w:rsidRPr="00D166E5" w:rsidRDefault="00F57048" w:rsidP="00F57048">
            <w:pPr>
              <w:jc w:val="both"/>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238F7C0A" w14:textId="0903D293" w:rsidR="00F57048" w:rsidRPr="00D166E5" w:rsidRDefault="00F57048" w:rsidP="00F57048">
            <w:pPr>
              <w:jc w:val="center"/>
              <w:rPr>
                <w:rFonts w:ascii="Arial" w:eastAsia="Calibri" w:hAnsi="Arial" w:cs="Arial"/>
                <w:lang w:val="es-ES"/>
              </w:rPr>
            </w:pPr>
            <w:r w:rsidRPr="008F5111">
              <w:rPr>
                <w:rFonts w:ascii="Arial" w:eastAsia="Calibri" w:hAnsi="Arial" w:cs="Arial"/>
                <w:lang w:val="es-ES"/>
              </w:rPr>
              <w:t>……</w:t>
            </w:r>
          </w:p>
        </w:tc>
      </w:tr>
    </w:tbl>
    <w:p w14:paraId="5BED3A4C" w14:textId="77777777" w:rsidR="00B450F4" w:rsidRPr="00B450F4" w:rsidRDefault="00B450F4" w:rsidP="00550434">
      <w:pPr>
        <w:jc w:val="center"/>
        <w:rPr>
          <w:rFonts w:ascii="Arial" w:eastAsia="Calibri" w:hAnsi="Arial" w:cs="Arial"/>
          <w:b/>
          <w:bCs/>
        </w:rPr>
      </w:pPr>
    </w:p>
    <w:p w14:paraId="22A7978A" w14:textId="601D4F49" w:rsidR="00550434" w:rsidRPr="00474866" w:rsidRDefault="00550434" w:rsidP="00550434">
      <w:pPr>
        <w:jc w:val="center"/>
        <w:rPr>
          <w:rFonts w:ascii="Arial" w:eastAsia="Calibri" w:hAnsi="Arial" w:cs="Arial"/>
          <w:b/>
          <w:bCs/>
          <w:lang w:val="es-ES"/>
        </w:rPr>
      </w:pPr>
      <w:r w:rsidRPr="00474866">
        <w:rPr>
          <w:rFonts w:ascii="Arial" w:eastAsia="Calibri" w:hAnsi="Arial" w:cs="Arial"/>
          <w:b/>
          <w:bCs/>
          <w:lang w:val="es-ES"/>
        </w:rPr>
        <w:t>ÍNDICE</w:t>
      </w:r>
    </w:p>
    <w:tbl>
      <w:tblPr>
        <w:tblStyle w:val="TableGrid"/>
        <w:tblW w:w="10314" w:type="dxa"/>
        <w:tblLook w:val="04A0" w:firstRow="1" w:lastRow="0" w:firstColumn="1" w:lastColumn="0" w:noHBand="0" w:noVBand="1"/>
      </w:tblPr>
      <w:tblGrid>
        <w:gridCol w:w="8897"/>
        <w:gridCol w:w="1417"/>
      </w:tblGrid>
      <w:tr w:rsidR="00550434" w:rsidRPr="00474866" w14:paraId="79DBF6CF" w14:textId="77777777" w:rsidTr="00CE771C">
        <w:trPr>
          <w:trHeight w:val="208"/>
        </w:trPr>
        <w:tc>
          <w:tcPr>
            <w:tcW w:w="8897" w:type="dxa"/>
            <w:shd w:val="clear" w:color="auto" w:fill="0070C0"/>
            <w:vAlign w:val="center"/>
          </w:tcPr>
          <w:p w14:paraId="126D5DE1"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Materias</w:t>
            </w:r>
          </w:p>
        </w:tc>
        <w:tc>
          <w:tcPr>
            <w:tcW w:w="1417" w:type="dxa"/>
            <w:shd w:val="clear" w:color="auto" w:fill="0070C0"/>
            <w:vAlign w:val="center"/>
          </w:tcPr>
          <w:p w14:paraId="08B744ED" w14:textId="77777777" w:rsidR="00550434" w:rsidRPr="00474866" w:rsidRDefault="00550434" w:rsidP="00AA6980">
            <w:pPr>
              <w:spacing w:line="360" w:lineRule="auto"/>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Página</w:t>
            </w:r>
          </w:p>
        </w:tc>
      </w:tr>
      <w:tr w:rsidR="00550434" w:rsidRPr="00474866" w14:paraId="0463ABE4" w14:textId="77777777" w:rsidTr="00550434">
        <w:tc>
          <w:tcPr>
            <w:tcW w:w="8897" w:type="dxa"/>
          </w:tcPr>
          <w:p w14:paraId="069864A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F5B15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673C10C4" w14:textId="77777777" w:rsidTr="00550434">
        <w:tc>
          <w:tcPr>
            <w:tcW w:w="8897" w:type="dxa"/>
          </w:tcPr>
          <w:p w14:paraId="7EC5F8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0BCA3410"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4DBA72C4" w14:textId="77777777" w:rsidTr="00550434">
        <w:tc>
          <w:tcPr>
            <w:tcW w:w="8897" w:type="dxa"/>
          </w:tcPr>
          <w:p w14:paraId="065C2FEF"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9A7998D"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0F000CA2" w14:textId="77777777" w:rsidTr="00550434">
        <w:tc>
          <w:tcPr>
            <w:tcW w:w="8897" w:type="dxa"/>
          </w:tcPr>
          <w:p w14:paraId="04D19A0E"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780FBE2F" w14:textId="77777777" w:rsidR="00550434" w:rsidRPr="00474866" w:rsidRDefault="00550434" w:rsidP="00AA6980">
            <w:pPr>
              <w:tabs>
                <w:tab w:val="left" w:pos="630"/>
              </w:tabs>
              <w:spacing w:line="360" w:lineRule="auto"/>
              <w:jc w:val="center"/>
              <w:rPr>
                <w:rFonts w:ascii="Arial" w:eastAsia="Calibri" w:hAnsi="Arial" w:cs="Arial"/>
                <w:lang w:val="es-ES"/>
              </w:rPr>
            </w:pPr>
          </w:p>
        </w:tc>
      </w:tr>
      <w:tr w:rsidR="00550434" w:rsidRPr="00474866" w14:paraId="61FD074E" w14:textId="77777777" w:rsidTr="00550434">
        <w:tc>
          <w:tcPr>
            <w:tcW w:w="8897" w:type="dxa"/>
          </w:tcPr>
          <w:p w14:paraId="0FF16A90"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B91C34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38212183" w14:textId="77777777" w:rsidTr="00550434">
        <w:tc>
          <w:tcPr>
            <w:tcW w:w="8897" w:type="dxa"/>
          </w:tcPr>
          <w:p w14:paraId="430E21FD"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103ABAE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6D74CAA" w14:textId="77777777" w:rsidTr="00550434">
        <w:tc>
          <w:tcPr>
            <w:tcW w:w="8897" w:type="dxa"/>
          </w:tcPr>
          <w:p w14:paraId="6A0F6026"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6AE88F88"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FBFD6E9" w14:textId="77777777" w:rsidTr="00550434">
        <w:tc>
          <w:tcPr>
            <w:tcW w:w="8897" w:type="dxa"/>
          </w:tcPr>
          <w:p w14:paraId="3CA50421"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219C2EE5"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59177554" w14:textId="77777777" w:rsidTr="00550434">
        <w:tc>
          <w:tcPr>
            <w:tcW w:w="8897" w:type="dxa"/>
          </w:tcPr>
          <w:p w14:paraId="7DA4B309"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32754CFE" w14:textId="77777777" w:rsidR="00550434" w:rsidRPr="00474866" w:rsidRDefault="00550434" w:rsidP="00AA6980">
            <w:pPr>
              <w:spacing w:line="360" w:lineRule="auto"/>
              <w:jc w:val="center"/>
              <w:rPr>
                <w:rFonts w:ascii="Arial" w:eastAsia="Calibri" w:hAnsi="Arial" w:cs="Arial"/>
                <w:lang w:val="es-ES"/>
              </w:rPr>
            </w:pPr>
          </w:p>
        </w:tc>
      </w:tr>
      <w:tr w:rsidR="00550434" w:rsidRPr="00474866" w14:paraId="778A54D2" w14:textId="77777777" w:rsidTr="00550434">
        <w:tc>
          <w:tcPr>
            <w:tcW w:w="8897" w:type="dxa"/>
          </w:tcPr>
          <w:p w14:paraId="73FCF52C" w14:textId="77777777" w:rsidR="00550434" w:rsidRPr="00474866" w:rsidRDefault="00550434" w:rsidP="00AA6980">
            <w:pPr>
              <w:spacing w:line="360" w:lineRule="auto"/>
              <w:jc w:val="both"/>
              <w:rPr>
                <w:rFonts w:ascii="Arial" w:eastAsia="Calibri" w:hAnsi="Arial" w:cs="Arial"/>
                <w:lang w:val="es-ES"/>
              </w:rPr>
            </w:pPr>
          </w:p>
        </w:tc>
        <w:tc>
          <w:tcPr>
            <w:tcW w:w="1417" w:type="dxa"/>
          </w:tcPr>
          <w:p w14:paraId="4A569B22" w14:textId="77777777" w:rsidR="00550434" w:rsidRPr="00474866" w:rsidRDefault="00550434" w:rsidP="00AA6980">
            <w:pPr>
              <w:spacing w:line="360" w:lineRule="auto"/>
              <w:jc w:val="center"/>
              <w:rPr>
                <w:rFonts w:ascii="Arial" w:eastAsia="Calibri" w:hAnsi="Arial" w:cs="Arial"/>
                <w:lang w:val="es-ES"/>
              </w:rPr>
            </w:pPr>
          </w:p>
        </w:tc>
      </w:tr>
    </w:tbl>
    <w:p w14:paraId="10E4E498" w14:textId="77777777" w:rsidR="00550434" w:rsidRPr="00474866" w:rsidRDefault="00550434" w:rsidP="00550434">
      <w:pPr>
        <w:jc w:val="both"/>
        <w:rPr>
          <w:rFonts w:ascii="Arial" w:eastAsia="Calibri" w:hAnsi="Arial" w:cs="Arial"/>
          <w:b/>
          <w:bCs/>
          <w:lang w:val="es-ES"/>
        </w:rPr>
      </w:pPr>
    </w:p>
    <w:p w14:paraId="382248B3" w14:textId="77777777" w:rsidR="00550434" w:rsidRPr="00474866" w:rsidRDefault="00550434" w:rsidP="00550434">
      <w:pPr>
        <w:jc w:val="both"/>
        <w:rPr>
          <w:rFonts w:ascii="Arial" w:eastAsia="Calibri" w:hAnsi="Arial" w:cs="Arial"/>
          <w:b/>
          <w:bCs/>
          <w:lang w:val="es-ES"/>
        </w:rPr>
      </w:pPr>
    </w:p>
    <w:tbl>
      <w:tblPr>
        <w:tblStyle w:val="TableGrid"/>
        <w:tblW w:w="4992" w:type="pct"/>
        <w:tblLook w:val="04A0" w:firstRow="1" w:lastRow="0" w:firstColumn="1" w:lastColumn="0" w:noHBand="0" w:noVBand="1"/>
      </w:tblPr>
      <w:tblGrid>
        <w:gridCol w:w="1910"/>
        <w:gridCol w:w="3687"/>
        <w:gridCol w:w="1866"/>
        <w:gridCol w:w="2802"/>
      </w:tblGrid>
      <w:tr w:rsidR="00550434" w:rsidRPr="00474866" w14:paraId="15F09F48" w14:textId="77777777" w:rsidTr="00CE771C">
        <w:trPr>
          <w:trHeight w:val="70"/>
        </w:trPr>
        <w:tc>
          <w:tcPr>
            <w:tcW w:w="9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64BDEAF"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Responsable</w:t>
            </w:r>
          </w:p>
        </w:tc>
        <w:tc>
          <w:tcPr>
            <w:tcW w:w="1796"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77AAA96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c>
          <w:tcPr>
            <w:tcW w:w="90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930C4DA"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Fecha</w:t>
            </w:r>
          </w:p>
        </w:tc>
        <w:tc>
          <w:tcPr>
            <w:tcW w:w="1365" w:type="pct"/>
            <w:tcBorders>
              <w:top w:val="single" w:sz="4" w:space="0" w:color="auto"/>
              <w:left w:val="single" w:sz="4" w:space="0" w:color="auto"/>
              <w:bottom w:val="single" w:sz="4" w:space="0" w:color="auto"/>
              <w:right w:val="single" w:sz="4" w:space="0" w:color="auto"/>
            </w:tcBorders>
            <w:shd w:val="clear" w:color="auto" w:fill="0070C0"/>
          </w:tcPr>
          <w:p w14:paraId="0EFCDE80" w14:textId="77777777" w:rsidR="00550434" w:rsidRPr="00474866" w:rsidRDefault="00550434"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Firma</w:t>
            </w:r>
          </w:p>
        </w:tc>
      </w:tr>
      <w:tr w:rsidR="00550434" w:rsidRPr="00474866" w14:paraId="2B0F974D" w14:textId="77777777" w:rsidTr="00AA6980">
        <w:trPr>
          <w:trHeight w:val="420"/>
        </w:trPr>
        <w:tc>
          <w:tcPr>
            <w:tcW w:w="930" w:type="pct"/>
            <w:tcBorders>
              <w:top w:val="single" w:sz="4" w:space="0" w:color="auto"/>
              <w:left w:val="single" w:sz="4" w:space="0" w:color="auto"/>
              <w:bottom w:val="single" w:sz="4" w:space="0" w:color="auto"/>
              <w:right w:val="single" w:sz="4" w:space="0" w:color="auto"/>
            </w:tcBorders>
            <w:vAlign w:val="center"/>
          </w:tcPr>
          <w:p w14:paraId="4B1B4B45"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Realizado por:</w:t>
            </w:r>
          </w:p>
        </w:tc>
        <w:tc>
          <w:tcPr>
            <w:tcW w:w="1796" w:type="pct"/>
            <w:tcBorders>
              <w:top w:val="single" w:sz="4" w:space="0" w:color="auto"/>
              <w:left w:val="single" w:sz="4" w:space="0" w:color="auto"/>
              <w:bottom w:val="single" w:sz="4" w:space="0" w:color="auto"/>
              <w:right w:val="single" w:sz="4" w:space="0" w:color="auto"/>
            </w:tcBorders>
            <w:vAlign w:val="center"/>
          </w:tcPr>
          <w:p w14:paraId="71238628"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ADEA28A"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4A0E8BA2" w14:textId="77777777" w:rsidR="00550434" w:rsidRPr="00474866" w:rsidRDefault="00550434" w:rsidP="00AA6980">
            <w:pPr>
              <w:rPr>
                <w:rFonts w:ascii="Arial" w:eastAsia="Calibri" w:hAnsi="Arial" w:cs="Arial"/>
                <w:b/>
                <w:lang w:val="es-ES"/>
              </w:rPr>
            </w:pPr>
          </w:p>
        </w:tc>
      </w:tr>
      <w:tr w:rsidR="00550434" w:rsidRPr="00474866" w14:paraId="02A9825A" w14:textId="77777777" w:rsidTr="00AA6980">
        <w:trPr>
          <w:trHeight w:val="465"/>
        </w:trPr>
        <w:tc>
          <w:tcPr>
            <w:tcW w:w="930" w:type="pct"/>
            <w:tcBorders>
              <w:top w:val="single" w:sz="4" w:space="0" w:color="auto"/>
              <w:left w:val="single" w:sz="4" w:space="0" w:color="auto"/>
              <w:bottom w:val="single" w:sz="4" w:space="0" w:color="auto"/>
              <w:right w:val="single" w:sz="4" w:space="0" w:color="auto"/>
            </w:tcBorders>
            <w:vAlign w:val="center"/>
          </w:tcPr>
          <w:p w14:paraId="102C2976"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Revisado por:</w:t>
            </w:r>
          </w:p>
        </w:tc>
        <w:tc>
          <w:tcPr>
            <w:tcW w:w="1796" w:type="pct"/>
            <w:tcBorders>
              <w:top w:val="single" w:sz="4" w:space="0" w:color="auto"/>
              <w:left w:val="single" w:sz="4" w:space="0" w:color="auto"/>
              <w:bottom w:val="single" w:sz="4" w:space="0" w:color="auto"/>
              <w:right w:val="single" w:sz="4" w:space="0" w:color="auto"/>
            </w:tcBorders>
            <w:vAlign w:val="center"/>
          </w:tcPr>
          <w:p w14:paraId="093F4819"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5BBD8B59"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1197ABE1" w14:textId="77777777" w:rsidR="00550434" w:rsidRPr="00474866" w:rsidRDefault="00550434" w:rsidP="00AA6980">
            <w:pPr>
              <w:rPr>
                <w:rFonts w:ascii="Arial" w:eastAsia="Calibri" w:hAnsi="Arial" w:cs="Arial"/>
                <w:b/>
                <w:lang w:val="es-ES"/>
              </w:rPr>
            </w:pPr>
          </w:p>
        </w:tc>
      </w:tr>
      <w:tr w:rsidR="00550434" w:rsidRPr="00474866" w14:paraId="4AB2D941" w14:textId="77777777" w:rsidTr="00AA6980">
        <w:trPr>
          <w:trHeight w:val="430"/>
        </w:trPr>
        <w:tc>
          <w:tcPr>
            <w:tcW w:w="930" w:type="pct"/>
            <w:tcBorders>
              <w:top w:val="single" w:sz="4" w:space="0" w:color="auto"/>
              <w:left w:val="single" w:sz="4" w:space="0" w:color="auto"/>
              <w:bottom w:val="single" w:sz="4" w:space="0" w:color="auto"/>
              <w:right w:val="single" w:sz="4" w:space="0" w:color="auto"/>
            </w:tcBorders>
            <w:vAlign w:val="center"/>
            <w:hideMark/>
          </w:tcPr>
          <w:p w14:paraId="3BFA5F3B" w14:textId="77777777" w:rsidR="00550434" w:rsidRPr="00474866" w:rsidRDefault="00550434" w:rsidP="00AA6980">
            <w:pPr>
              <w:rPr>
                <w:rFonts w:ascii="Arial" w:eastAsia="Calibri" w:hAnsi="Arial" w:cs="Arial"/>
                <w:b/>
                <w:lang w:val="es-ES"/>
              </w:rPr>
            </w:pPr>
            <w:r w:rsidRPr="00474866">
              <w:rPr>
                <w:rFonts w:ascii="Arial" w:eastAsia="Calibri" w:hAnsi="Arial" w:cs="Arial"/>
                <w:b/>
                <w:lang w:val="es-ES"/>
              </w:rPr>
              <w:t>Aprobado por:</w:t>
            </w:r>
          </w:p>
        </w:tc>
        <w:tc>
          <w:tcPr>
            <w:tcW w:w="1796" w:type="pct"/>
            <w:tcBorders>
              <w:top w:val="single" w:sz="4" w:space="0" w:color="auto"/>
              <w:left w:val="single" w:sz="4" w:space="0" w:color="auto"/>
              <w:bottom w:val="single" w:sz="4" w:space="0" w:color="auto"/>
              <w:right w:val="single" w:sz="4" w:space="0" w:color="auto"/>
            </w:tcBorders>
            <w:vAlign w:val="center"/>
          </w:tcPr>
          <w:p w14:paraId="0F243E8B" w14:textId="77777777" w:rsidR="00550434" w:rsidRPr="00474866" w:rsidRDefault="00550434" w:rsidP="00AA6980">
            <w:pPr>
              <w:jc w:val="center"/>
              <w:rPr>
                <w:rFonts w:ascii="Arial" w:eastAsia="Calibri" w:hAnsi="Arial" w:cs="Arial"/>
                <w:b/>
                <w:lang w:val="es-ES"/>
              </w:rPr>
            </w:pPr>
          </w:p>
        </w:tc>
        <w:tc>
          <w:tcPr>
            <w:tcW w:w="909" w:type="pct"/>
            <w:tcBorders>
              <w:top w:val="single" w:sz="4" w:space="0" w:color="auto"/>
              <w:left w:val="single" w:sz="4" w:space="0" w:color="auto"/>
              <w:bottom w:val="single" w:sz="4" w:space="0" w:color="auto"/>
              <w:right w:val="single" w:sz="4" w:space="0" w:color="auto"/>
            </w:tcBorders>
            <w:vAlign w:val="center"/>
          </w:tcPr>
          <w:p w14:paraId="7C801862" w14:textId="77777777" w:rsidR="00550434" w:rsidRPr="00474866" w:rsidRDefault="00550434" w:rsidP="00AA6980">
            <w:pPr>
              <w:jc w:val="center"/>
              <w:rPr>
                <w:rFonts w:ascii="Arial" w:eastAsia="Calibri" w:hAnsi="Arial" w:cs="Arial"/>
                <w:b/>
                <w:lang w:val="es-ES"/>
              </w:rPr>
            </w:pPr>
          </w:p>
        </w:tc>
        <w:tc>
          <w:tcPr>
            <w:tcW w:w="1365" w:type="pct"/>
            <w:tcBorders>
              <w:top w:val="single" w:sz="4" w:space="0" w:color="auto"/>
              <w:left w:val="single" w:sz="4" w:space="0" w:color="auto"/>
              <w:bottom w:val="single" w:sz="4" w:space="0" w:color="auto"/>
              <w:right w:val="single" w:sz="4" w:space="0" w:color="auto"/>
            </w:tcBorders>
          </w:tcPr>
          <w:p w14:paraId="59346927" w14:textId="77777777" w:rsidR="00550434" w:rsidRPr="00474866" w:rsidRDefault="00550434" w:rsidP="00AA6980">
            <w:pPr>
              <w:rPr>
                <w:rFonts w:ascii="Arial" w:eastAsia="Calibri" w:hAnsi="Arial" w:cs="Arial"/>
                <w:b/>
                <w:lang w:val="es-ES"/>
              </w:rPr>
            </w:pPr>
          </w:p>
        </w:tc>
      </w:tr>
    </w:tbl>
    <w:p w14:paraId="4A457585" w14:textId="77777777" w:rsidR="00550434" w:rsidRPr="00474866" w:rsidRDefault="00550434" w:rsidP="00550434">
      <w:pPr>
        <w:pStyle w:val="Heading1"/>
        <w:spacing w:before="0" w:line="240" w:lineRule="auto"/>
        <w:rPr>
          <w:rFonts w:ascii="Arial" w:hAnsi="Arial" w:cs="Arial"/>
          <w:b/>
          <w:color w:val="auto"/>
          <w:sz w:val="22"/>
          <w:szCs w:val="22"/>
        </w:rPr>
      </w:pPr>
    </w:p>
    <w:p w14:paraId="65BA4029" w14:textId="77777777" w:rsidR="00550434" w:rsidRPr="00474866" w:rsidRDefault="00550434" w:rsidP="00550434">
      <w:pPr>
        <w:pStyle w:val="Heading1"/>
        <w:spacing w:before="0" w:line="240" w:lineRule="auto"/>
        <w:rPr>
          <w:rFonts w:ascii="Arial" w:hAnsi="Arial" w:cs="Arial"/>
          <w:b/>
          <w:color w:val="auto"/>
          <w:sz w:val="22"/>
          <w:szCs w:val="22"/>
        </w:rPr>
      </w:pPr>
    </w:p>
    <w:p w14:paraId="21DD5101" w14:textId="77777777" w:rsidR="00550434" w:rsidRPr="00474866" w:rsidRDefault="00550434" w:rsidP="00821C34">
      <w:pPr>
        <w:tabs>
          <w:tab w:val="left" w:pos="142"/>
        </w:tabs>
        <w:spacing w:after="120" w:line="240" w:lineRule="auto"/>
        <w:jc w:val="both"/>
        <w:rPr>
          <w:rFonts w:ascii="Arial" w:hAnsi="Arial" w:cs="Arial"/>
          <w:b/>
          <w:lang w:val="es-ES"/>
        </w:rPr>
      </w:pPr>
    </w:p>
    <w:p w14:paraId="427944BE" w14:textId="77777777" w:rsidR="00550434" w:rsidRPr="00474866" w:rsidRDefault="00550434" w:rsidP="00821C34">
      <w:pPr>
        <w:tabs>
          <w:tab w:val="left" w:pos="142"/>
        </w:tabs>
        <w:spacing w:after="120" w:line="240" w:lineRule="auto"/>
        <w:jc w:val="both"/>
        <w:rPr>
          <w:rFonts w:ascii="Arial" w:hAnsi="Arial" w:cs="Arial"/>
          <w:b/>
          <w:lang w:val="es-ES"/>
        </w:rPr>
      </w:pPr>
    </w:p>
    <w:p w14:paraId="0E0F51BF" w14:textId="77777777" w:rsidR="00550434" w:rsidRPr="00474866" w:rsidRDefault="00550434" w:rsidP="00821C34">
      <w:pPr>
        <w:tabs>
          <w:tab w:val="left" w:pos="142"/>
        </w:tabs>
        <w:spacing w:after="120" w:line="240" w:lineRule="auto"/>
        <w:jc w:val="both"/>
        <w:rPr>
          <w:rFonts w:ascii="Arial" w:hAnsi="Arial" w:cs="Arial"/>
          <w:b/>
          <w:lang w:val="es-ES"/>
        </w:rPr>
      </w:pPr>
    </w:p>
    <w:p w14:paraId="7CBFD01E" w14:textId="77777777" w:rsidR="00550434" w:rsidRDefault="00550434" w:rsidP="00821C34">
      <w:pPr>
        <w:tabs>
          <w:tab w:val="left" w:pos="142"/>
        </w:tabs>
        <w:spacing w:after="120" w:line="240" w:lineRule="auto"/>
        <w:jc w:val="both"/>
        <w:rPr>
          <w:rFonts w:ascii="Arial" w:hAnsi="Arial" w:cs="Arial"/>
          <w:b/>
          <w:lang w:val="es-ES"/>
        </w:rPr>
      </w:pPr>
    </w:p>
    <w:p w14:paraId="215297D5" w14:textId="77777777" w:rsidR="00E17C6E" w:rsidRPr="00474866" w:rsidRDefault="00E17C6E" w:rsidP="00821C34">
      <w:pPr>
        <w:tabs>
          <w:tab w:val="left" w:pos="142"/>
        </w:tabs>
        <w:spacing w:after="120" w:line="240" w:lineRule="auto"/>
        <w:jc w:val="both"/>
        <w:rPr>
          <w:rFonts w:ascii="Arial" w:hAnsi="Arial" w:cs="Arial"/>
          <w:b/>
          <w:lang w:val="es-ES"/>
        </w:rPr>
      </w:pPr>
    </w:p>
    <w:p w14:paraId="65A016E4" w14:textId="77777777" w:rsidR="00550434" w:rsidRPr="00474866" w:rsidRDefault="00550434" w:rsidP="00821C34">
      <w:pPr>
        <w:tabs>
          <w:tab w:val="left" w:pos="142"/>
        </w:tabs>
        <w:spacing w:after="120" w:line="240" w:lineRule="auto"/>
        <w:jc w:val="both"/>
        <w:rPr>
          <w:rFonts w:ascii="Arial" w:hAnsi="Arial" w:cs="Arial"/>
          <w:b/>
          <w:lang w:val="es-ES"/>
        </w:rPr>
      </w:pPr>
    </w:p>
    <w:p w14:paraId="499B1CBE" w14:textId="77777777" w:rsidR="00550434" w:rsidRPr="00474866" w:rsidRDefault="00550434" w:rsidP="00821C34">
      <w:pPr>
        <w:tabs>
          <w:tab w:val="left" w:pos="142"/>
        </w:tabs>
        <w:spacing w:after="120" w:line="240" w:lineRule="auto"/>
        <w:jc w:val="both"/>
        <w:rPr>
          <w:rFonts w:ascii="Arial" w:hAnsi="Arial" w:cs="Arial"/>
          <w:b/>
          <w:lang w:val="es-ES"/>
        </w:rPr>
      </w:pPr>
    </w:p>
    <w:p w14:paraId="7BC1F769" w14:textId="77777777" w:rsidR="005572DB" w:rsidRDefault="005572DB" w:rsidP="00821C34">
      <w:pPr>
        <w:tabs>
          <w:tab w:val="left" w:pos="142"/>
        </w:tabs>
        <w:spacing w:after="120" w:line="240" w:lineRule="auto"/>
        <w:jc w:val="both"/>
        <w:rPr>
          <w:rFonts w:ascii="Arial" w:hAnsi="Arial" w:cs="Arial"/>
          <w:b/>
          <w:lang w:val="es-ES"/>
        </w:rPr>
      </w:pPr>
    </w:p>
    <w:p w14:paraId="422F01BC" w14:textId="238559BF" w:rsidR="00E75A1F" w:rsidRPr="005732A3" w:rsidRDefault="00E75A1F" w:rsidP="005732A3">
      <w:pPr>
        <w:tabs>
          <w:tab w:val="left" w:pos="142"/>
        </w:tabs>
        <w:spacing w:after="120" w:line="240" w:lineRule="auto"/>
        <w:jc w:val="both"/>
        <w:rPr>
          <w:rFonts w:ascii="Arial" w:hAnsi="Arial" w:cs="Arial"/>
          <w:b/>
          <w:lang w:val="es-ES"/>
        </w:rPr>
      </w:pPr>
      <w:r w:rsidRPr="005732A3">
        <w:rPr>
          <w:rFonts w:ascii="Arial" w:hAnsi="Arial" w:cs="Arial"/>
          <w:b/>
          <w:lang w:val="es-ES"/>
        </w:rPr>
        <w:lastRenderedPageBreak/>
        <w:t>1. OBJETIVO</w:t>
      </w:r>
    </w:p>
    <w:p w14:paraId="1F1FCDB1" w14:textId="6408D3AA" w:rsidR="00FC3898" w:rsidRPr="005732A3" w:rsidRDefault="00CC54E7" w:rsidP="005732A3">
      <w:pPr>
        <w:spacing w:after="120" w:line="240" w:lineRule="auto"/>
        <w:jc w:val="both"/>
        <w:rPr>
          <w:rFonts w:ascii="Arial" w:hAnsi="Arial" w:cs="Arial"/>
          <w:lang w:val="es-ES"/>
        </w:rPr>
      </w:pPr>
      <w:r w:rsidRPr="005732A3">
        <w:rPr>
          <w:rFonts w:ascii="Arial" w:eastAsia="Calibri" w:hAnsi="Arial" w:cs="Arial"/>
          <w:shd w:val="clear" w:color="auto" w:fill="F2F2F2" w:themeFill="background1" w:themeFillShade="F2"/>
          <w:lang w:val="es-ES"/>
        </w:rPr>
        <w:t xml:space="preserve">Establecer un proceso sistemático y disciplinado para </w:t>
      </w:r>
      <w:r w:rsidR="00B537CF" w:rsidRPr="005732A3">
        <w:rPr>
          <w:rFonts w:ascii="Arial" w:hAnsi="Arial" w:cs="Arial"/>
          <w:lang w:val="es-ES"/>
        </w:rPr>
        <w:t>proteger y preservar los principios de objetividad del equipo de la función de auditoría interna mediante la implementación de salvaguardas. Dado que la actividad de auditoría interna enfrenta de manera constante riesgos que pueden comprometer la objetividad requerida, es esencial adoptar medidas de resguardo que permitan a la Jefatura y a los miembros del equipo cumplir de manera efectiva con sus roles y responsabilidade</w:t>
      </w:r>
      <w:r w:rsidR="002A4FDB" w:rsidRPr="005732A3">
        <w:rPr>
          <w:rFonts w:ascii="Arial" w:hAnsi="Arial" w:cs="Arial"/>
          <w:lang w:val="es-ES"/>
        </w:rPr>
        <w:t>s.</w:t>
      </w:r>
    </w:p>
    <w:p w14:paraId="7BC98D21" w14:textId="2B95DC2A" w:rsidR="00E75A1F" w:rsidRPr="005732A3" w:rsidRDefault="00E75A1F" w:rsidP="005732A3">
      <w:pPr>
        <w:spacing w:after="120" w:line="240" w:lineRule="auto"/>
        <w:jc w:val="both"/>
        <w:rPr>
          <w:rFonts w:ascii="Arial" w:hAnsi="Arial" w:cs="Arial"/>
          <w:b/>
          <w:lang w:val="es-ES"/>
        </w:rPr>
      </w:pPr>
      <w:r w:rsidRPr="005732A3">
        <w:rPr>
          <w:rFonts w:ascii="Arial" w:hAnsi="Arial" w:cs="Arial"/>
          <w:b/>
          <w:lang w:val="es-ES"/>
        </w:rPr>
        <w:t>2. ALCANCE</w:t>
      </w:r>
    </w:p>
    <w:p w14:paraId="0B73BB1F" w14:textId="77777777" w:rsidR="003E7D2F" w:rsidRPr="005732A3" w:rsidRDefault="003E7D2F" w:rsidP="005732A3">
      <w:pPr>
        <w:spacing w:after="0" w:line="240" w:lineRule="auto"/>
        <w:jc w:val="both"/>
        <w:rPr>
          <w:rFonts w:ascii="Arial" w:hAnsi="Arial" w:cs="Arial"/>
          <w:bCs/>
          <w:sz w:val="18"/>
          <w:szCs w:val="18"/>
          <w:lang w:val="es-ES"/>
        </w:rPr>
      </w:pPr>
      <w:r w:rsidRPr="005732A3">
        <w:rPr>
          <w:rFonts w:ascii="Arial" w:hAnsi="Arial" w:cs="Arial"/>
          <w:bCs/>
          <w:lang w:val="es-ES"/>
        </w:rPr>
        <w:t>Este procedimiento aplica a la función de auditoría interna y a todos los auditores internos responsables de evaluar el cumplimiento normativo en las auditorías realizadas a nivel organizacional., así como de todo personal que preste servicios de auditoría interna en forma permanente u ocasional en las dependencias del Servicio.</w:t>
      </w:r>
    </w:p>
    <w:p w14:paraId="76C6519E" w14:textId="77777777" w:rsidR="00796232" w:rsidRPr="005732A3" w:rsidRDefault="00796232" w:rsidP="005732A3">
      <w:pPr>
        <w:spacing w:after="120" w:line="240" w:lineRule="auto"/>
        <w:jc w:val="both"/>
        <w:rPr>
          <w:rFonts w:ascii="Arial" w:hAnsi="Arial" w:cs="Arial"/>
          <w:bCs/>
          <w:lang w:val="es-ES"/>
        </w:rPr>
      </w:pPr>
    </w:p>
    <w:p w14:paraId="618F1B0A" w14:textId="184DF2B8" w:rsidR="00E75A1F" w:rsidRPr="005732A3" w:rsidRDefault="0063480E" w:rsidP="005732A3">
      <w:pPr>
        <w:spacing w:after="120" w:line="240" w:lineRule="auto"/>
        <w:jc w:val="both"/>
        <w:rPr>
          <w:rFonts w:ascii="Arial" w:hAnsi="Arial" w:cs="Arial"/>
          <w:b/>
          <w:lang w:val="es-ES"/>
        </w:rPr>
      </w:pPr>
      <w:r w:rsidRPr="005732A3">
        <w:rPr>
          <w:rFonts w:ascii="Arial" w:hAnsi="Arial" w:cs="Arial"/>
          <w:b/>
          <w:lang w:val="es-ES"/>
        </w:rPr>
        <w:t>3</w:t>
      </w:r>
      <w:r w:rsidR="00E75A1F" w:rsidRPr="005732A3">
        <w:rPr>
          <w:rFonts w:ascii="Arial" w:hAnsi="Arial" w:cs="Arial"/>
          <w:b/>
          <w:lang w:val="es-ES"/>
        </w:rPr>
        <w:t>. DEFINICIONES</w:t>
      </w:r>
    </w:p>
    <w:p w14:paraId="454C1319" w14:textId="286C420D" w:rsidR="00471885" w:rsidRPr="005732A3" w:rsidRDefault="00471885" w:rsidP="005732A3">
      <w:pPr>
        <w:pStyle w:val="ListParagraph"/>
        <w:numPr>
          <w:ilvl w:val="0"/>
          <w:numId w:val="24"/>
        </w:numPr>
        <w:spacing w:after="0" w:line="240" w:lineRule="auto"/>
        <w:ind w:left="426"/>
        <w:jc w:val="both"/>
        <w:rPr>
          <w:rFonts w:ascii="Arial" w:hAnsi="Arial" w:cs="Arial"/>
          <w:lang w:val="es-ES"/>
        </w:rPr>
      </w:pPr>
      <w:r w:rsidRPr="005732A3">
        <w:rPr>
          <w:rFonts w:ascii="Arial" w:hAnsi="Arial" w:cs="Arial"/>
          <w:b/>
          <w:bCs/>
          <w:lang w:val="es-ES"/>
        </w:rPr>
        <w:t>Conflicto de intereses</w:t>
      </w:r>
      <w:r w:rsidR="00933E6B" w:rsidRPr="005732A3">
        <w:rPr>
          <w:rFonts w:ascii="Arial" w:hAnsi="Arial" w:cs="Arial"/>
          <w:b/>
          <w:bCs/>
          <w:lang w:val="es-ES"/>
        </w:rPr>
        <w:t xml:space="preserve">: </w:t>
      </w:r>
      <w:r w:rsidR="00595754" w:rsidRPr="005732A3">
        <w:rPr>
          <w:rFonts w:ascii="Arial" w:hAnsi="Arial" w:cs="Arial"/>
          <w:lang w:val="es-ES"/>
        </w:rPr>
        <w:t>Una situación, actividad, o relación que pudiese influir, o dar la apariencia de influir, la capacidad del auditor interno cuando emite juicios profesionales o desempeñar sus responsabilidades de manera objetiva.</w:t>
      </w:r>
    </w:p>
    <w:p w14:paraId="23F478BD" w14:textId="48CC32AE" w:rsidR="00E75A1F" w:rsidRPr="005732A3" w:rsidRDefault="00E75A1F" w:rsidP="005732A3">
      <w:pPr>
        <w:pStyle w:val="ListParagraph"/>
        <w:numPr>
          <w:ilvl w:val="0"/>
          <w:numId w:val="24"/>
        </w:numPr>
        <w:spacing w:after="0" w:line="240" w:lineRule="auto"/>
        <w:ind w:left="426"/>
        <w:jc w:val="both"/>
        <w:rPr>
          <w:rFonts w:ascii="Arial" w:hAnsi="Arial" w:cs="Arial"/>
          <w:bCs/>
          <w:lang w:val="es-ES"/>
        </w:rPr>
      </w:pPr>
      <w:r w:rsidRPr="005732A3">
        <w:rPr>
          <w:rFonts w:ascii="Arial" w:hAnsi="Arial" w:cs="Arial"/>
          <w:b/>
          <w:bCs/>
          <w:lang w:val="es-ES"/>
        </w:rPr>
        <w:t>Impedimentos o menoscabos:</w:t>
      </w:r>
      <w:r w:rsidRPr="005732A3">
        <w:rPr>
          <w:rFonts w:ascii="Arial" w:hAnsi="Arial" w:cs="Arial"/>
          <w:bCs/>
          <w:lang w:val="es-ES"/>
        </w:rPr>
        <w:t xml:space="preserve"> Circunstancias que generen pérdida o afectación a la objetividad individual de quienes ejerzan una labor de auditoría</w:t>
      </w:r>
      <w:r w:rsidR="007E6D11" w:rsidRPr="005732A3">
        <w:rPr>
          <w:rFonts w:ascii="Arial" w:hAnsi="Arial" w:cs="Arial"/>
          <w:bCs/>
          <w:lang w:val="es-ES"/>
        </w:rPr>
        <w:t xml:space="preserve"> interna</w:t>
      </w:r>
      <w:r w:rsidRPr="005732A3">
        <w:rPr>
          <w:rFonts w:ascii="Arial" w:hAnsi="Arial" w:cs="Arial"/>
          <w:bCs/>
          <w:lang w:val="es-ES"/>
        </w:rPr>
        <w:t>, entre otras, conflicto de intereses personales</w:t>
      </w:r>
      <w:r w:rsidR="00D12444" w:rsidRPr="005732A3">
        <w:rPr>
          <w:rFonts w:ascii="Arial" w:hAnsi="Arial" w:cs="Arial"/>
          <w:bCs/>
          <w:lang w:val="es-ES"/>
        </w:rPr>
        <w:t>.</w:t>
      </w:r>
    </w:p>
    <w:p w14:paraId="54863B6A" w14:textId="5E2B0921" w:rsidR="00E75A1F" w:rsidRPr="005732A3" w:rsidRDefault="00E75A1F" w:rsidP="005732A3">
      <w:pPr>
        <w:pStyle w:val="ListParagraph"/>
        <w:numPr>
          <w:ilvl w:val="0"/>
          <w:numId w:val="24"/>
        </w:numPr>
        <w:spacing w:after="0" w:line="240" w:lineRule="auto"/>
        <w:ind w:left="426"/>
        <w:jc w:val="both"/>
        <w:rPr>
          <w:rFonts w:ascii="Arial" w:hAnsi="Arial" w:cs="Arial"/>
          <w:bCs/>
          <w:lang w:val="es-ES"/>
        </w:rPr>
      </w:pPr>
      <w:r w:rsidRPr="005732A3">
        <w:rPr>
          <w:rFonts w:ascii="Arial" w:hAnsi="Arial" w:cs="Arial"/>
          <w:b/>
          <w:bCs/>
          <w:lang w:val="es-ES"/>
        </w:rPr>
        <w:t>Objetividad:</w:t>
      </w:r>
      <w:r w:rsidRPr="005732A3">
        <w:rPr>
          <w:rFonts w:ascii="Arial" w:hAnsi="Arial" w:cs="Arial"/>
          <w:bCs/>
          <w:lang w:val="es-ES"/>
        </w:rPr>
        <w:t xml:space="preserve"> </w:t>
      </w:r>
      <w:r w:rsidR="00B952A2" w:rsidRPr="005732A3">
        <w:rPr>
          <w:rFonts w:ascii="Arial" w:hAnsi="Arial" w:cs="Arial"/>
          <w:bCs/>
          <w:lang w:val="es-ES"/>
        </w:rPr>
        <w:t>Una actitud mental imparcial, que permite que los auditores internos hagan juicios profesionales, cumplan sus responsabilidades y logren el Propósito de Auditoría Interna sin comprometer dichos juicios.</w:t>
      </w:r>
    </w:p>
    <w:p w14:paraId="3CA22BA6" w14:textId="0FD8C8A2" w:rsidR="00E75A1F" w:rsidRPr="005732A3" w:rsidRDefault="00E75A1F" w:rsidP="005732A3">
      <w:pPr>
        <w:pStyle w:val="ListParagraph"/>
        <w:numPr>
          <w:ilvl w:val="0"/>
          <w:numId w:val="24"/>
        </w:numPr>
        <w:spacing w:after="0" w:line="240" w:lineRule="auto"/>
        <w:ind w:left="426"/>
        <w:jc w:val="both"/>
        <w:rPr>
          <w:rFonts w:ascii="Arial" w:hAnsi="Arial" w:cs="Arial"/>
          <w:bCs/>
          <w:lang w:val="es-ES"/>
        </w:rPr>
      </w:pPr>
      <w:r w:rsidRPr="005732A3">
        <w:rPr>
          <w:rFonts w:ascii="Arial" w:hAnsi="Arial" w:cs="Arial"/>
          <w:b/>
          <w:bCs/>
          <w:lang w:val="es-ES"/>
        </w:rPr>
        <w:t>Salvaguardas:</w:t>
      </w:r>
      <w:r w:rsidRPr="005732A3">
        <w:rPr>
          <w:rFonts w:ascii="Arial" w:hAnsi="Arial" w:cs="Arial"/>
          <w:bCs/>
          <w:lang w:val="es-ES"/>
        </w:rPr>
        <w:t xml:space="preserve"> Medidas para anticipar, minimizar, mitigar o tratar los impactos adversos asociados a la independencia y objetividad de</w:t>
      </w:r>
      <w:r w:rsidR="006A1D29" w:rsidRPr="005732A3">
        <w:rPr>
          <w:rFonts w:ascii="Arial" w:hAnsi="Arial" w:cs="Arial"/>
          <w:bCs/>
          <w:lang w:val="es-ES"/>
        </w:rPr>
        <w:t xml:space="preserve">l Jefe de </w:t>
      </w:r>
      <w:r w:rsidR="00030041" w:rsidRPr="005732A3">
        <w:rPr>
          <w:rFonts w:ascii="Arial" w:hAnsi="Arial" w:cs="Arial"/>
          <w:bCs/>
          <w:lang w:val="es-ES"/>
        </w:rPr>
        <w:t>Auditoría y</w:t>
      </w:r>
      <w:r w:rsidR="006A1D29" w:rsidRPr="005732A3">
        <w:rPr>
          <w:rFonts w:ascii="Arial" w:hAnsi="Arial" w:cs="Arial"/>
          <w:bCs/>
          <w:lang w:val="es-ES"/>
        </w:rPr>
        <w:t xml:space="preserve"> de</w:t>
      </w:r>
      <w:r w:rsidR="00F05D1C" w:rsidRPr="005732A3">
        <w:rPr>
          <w:rFonts w:ascii="Arial" w:hAnsi="Arial" w:cs="Arial"/>
          <w:bCs/>
          <w:lang w:val="es-ES"/>
        </w:rPr>
        <w:t xml:space="preserve"> los auditores internos</w:t>
      </w:r>
      <w:r w:rsidRPr="005732A3">
        <w:rPr>
          <w:rFonts w:ascii="Arial" w:hAnsi="Arial" w:cs="Arial"/>
          <w:bCs/>
          <w:lang w:val="es-ES"/>
        </w:rPr>
        <w:t>.</w:t>
      </w:r>
    </w:p>
    <w:p w14:paraId="4C0C55B4" w14:textId="77777777" w:rsidR="00E16F2C" w:rsidRPr="005732A3" w:rsidRDefault="00E16F2C" w:rsidP="005732A3">
      <w:pPr>
        <w:pStyle w:val="NormalWeb"/>
        <w:numPr>
          <w:ilvl w:val="0"/>
          <w:numId w:val="24"/>
        </w:numPr>
        <w:ind w:left="426"/>
        <w:jc w:val="both"/>
        <w:rPr>
          <w:rFonts w:ascii="Arial" w:hAnsi="Arial" w:cs="Arial"/>
          <w:sz w:val="22"/>
          <w:szCs w:val="22"/>
        </w:rPr>
      </w:pPr>
      <w:r w:rsidRPr="005732A3">
        <w:rPr>
          <w:rStyle w:val="Strong"/>
          <w:rFonts w:ascii="Arial" w:hAnsi="Arial" w:cs="Arial"/>
          <w:sz w:val="22"/>
          <w:szCs w:val="22"/>
        </w:rPr>
        <w:t>Sector Público:</w:t>
      </w:r>
      <w:r w:rsidRPr="005732A3">
        <w:rPr>
          <w:rFonts w:ascii="Arial" w:hAnsi="Arial" w:cs="Arial"/>
          <w:sz w:val="22"/>
          <w:szCs w:val="22"/>
        </w:rPr>
        <w:t xml:space="preserve"> Según las NOGAI, el Estado y todas las agencias, empresas y otras entidades bajo control estatal o con presupuesto público que gestionan programas, bienes y servicios al público.</w:t>
      </w:r>
    </w:p>
    <w:p w14:paraId="1040AADE" w14:textId="77777777" w:rsidR="00E16F2C" w:rsidRPr="005732A3" w:rsidRDefault="00E16F2C" w:rsidP="005732A3">
      <w:pPr>
        <w:pStyle w:val="NormalWeb"/>
        <w:numPr>
          <w:ilvl w:val="0"/>
          <w:numId w:val="24"/>
        </w:numPr>
        <w:spacing w:before="0" w:beforeAutospacing="0" w:after="0" w:afterAutospacing="0"/>
        <w:ind w:left="426"/>
        <w:jc w:val="both"/>
        <w:rPr>
          <w:rFonts w:ascii="Arial" w:hAnsi="Arial" w:cs="Arial"/>
          <w:sz w:val="22"/>
          <w:szCs w:val="22"/>
        </w:rPr>
      </w:pPr>
      <w:r w:rsidRPr="005732A3">
        <w:rPr>
          <w:rStyle w:val="Strong"/>
          <w:rFonts w:ascii="Arial" w:hAnsi="Arial" w:cs="Arial"/>
          <w:sz w:val="22"/>
          <w:szCs w:val="22"/>
        </w:rPr>
        <w:t xml:space="preserve">Unidad Central de Armonización (Central </w:t>
      </w:r>
      <w:proofErr w:type="spellStart"/>
      <w:r w:rsidRPr="005732A3">
        <w:rPr>
          <w:rStyle w:val="Strong"/>
          <w:rFonts w:ascii="Arial" w:hAnsi="Arial" w:cs="Arial"/>
          <w:sz w:val="22"/>
          <w:szCs w:val="22"/>
        </w:rPr>
        <w:t>Harmonisation</w:t>
      </w:r>
      <w:proofErr w:type="spellEnd"/>
      <w:r w:rsidRPr="005732A3">
        <w:rPr>
          <w:rStyle w:val="Strong"/>
          <w:rFonts w:ascii="Arial" w:hAnsi="Arial" w:cs="Arial"/>
          <w:sz w:val="22"/>
          <w:szCs w:val="22"/>
        </w:rPr>
        <w:t xml:space="preserve"> </w:t>
      </w:r>
      <w:proofErr w:type="spellStart"/>
      <w:r w:rsidRPr="005732A3">
        <w:rPr>
          <w:rStyle w:val="Strong"/>
          <w:rFonts w:ascii="Arial" w:hAnsi="Arial" w:cs="Arial"/>
          <w:sz w:val="22"/>
          <w:szCs w:val="22"/>
        </w:rPr>
        <w:t>Unit</w:t>
      </w:r>
      <w:proofErr w:type="spellEnd"/>
      <w:r w:rsidRPr="005732A3">
        <w:rPr>
          <w:rStyle w:val="Strong"/>
          <w:rFonts w:ascii="Arial" w:hAnsi="Arial" w:cs="Arial"/>
          <w:sz w:val="22"/>
          <w:szCs w:val="22"/>
        </w:rPr>
        <w:t xml:space="preserve"> - CHU):</w:t>
      </w:r>
      <w:r w:rsidRPr="005732A3">
        <w:rPr>
          <w:rFonts w:ascii="Arial" w:hAnsi="Arial" w:cs="Arial"/>
          <w:sz w:val="22"/>
          <w:szCs w:val="22"/>
        </w:rPr>
        <w:t xml:space="preserve"> El Consejo de Auditoría Interna General de Gobierno (CAIGG) o el Servicio de Auditoría Interna de Gobierno (SAIG) son reconocidos como la Unidad Central de Armonización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1BE7BD46" w14:textId="77777777" w:rsidR="00E16F2C" w:rsidRPr="005732A3" w:rsidRDefault="00E16F2C" w:rsidP="005732A3">
      <w:pPr>
        <w:pStyle w:val="NormalWeb"/>
        <w:spacing w:before="0" w:beforeAutospacing="0" w:after="0" w:afterAutospacing="0"/>
        <w:ind w:left="426"/>
        <w:jc w:val="both"/>
        <w:rPr>
          <w:rFonts w:ascii="Arial" w:hAnsi="Arial" w:cs="Arial"/>
          <w:sz w:val="22"/>
          <w:szCs w:val="22"/>
        </w:rPr>
      </w:pPr>
      <w:r w:rsidRPr="005732A3">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380F561F" w14:textId="77777777" w:rsidR="00E16F2C" w:rsidRPr="005732A3" w:rsidRDefault="00E16F2C" w:rsidP="005732A3">
      <w:pPr>
        <w:spacing w:after="0" w:line="240" w:lineRule="auto"/>
        <w:jc w:val="both"/>
        <w:rPr>
          <w:rFonts w:ascii="Arial" w:hAnsi="Arial" w:cs="Arial"/>
          <w:bCs/>
        </w:rPr>
      </w:pPr>
    </w:p>
    <w:p w14:paraId="3471467D" w14:textId="58F3B404" w:rsidR="00E75A1F" w:rsidRPr="00474866" w:rsidRDefault="0063480E" w:rsidP="00474866">
      <w:pPr>
        <w:spacing w:line="240" w:lineRule="auto"/>
        <w:jc w:val="both"/>
        <w:rPr>
          <w:rFonts w:ascii="Arial" w:hAnsi="Arial" w:cs="Arial"/>
          <w:b/>
          <w:lang w:val="es-ES"/>
        </w:rPr>
      </w:pPr>
      <w:r w:rsidRPr="00474866">
        <w:rPr>
          <w:rFonts w:ascii="Arial" w:hAnsi="Arial" w:cs="Arial"/>
          <w:b/>
          <w:lang w:val="es-ES"/>
        </w:rPr>
        <w:t>4</w:t>
      </w:r>
      <w:r w:rsidR="00E75A1F" w:rsidRPr="00474866">
        <w:rPr>
          <w:rFonts w:ascii="Arial" w:hAnsi="Arial" w:cs="Arial"/>
          <w:b/>
          <w:lang w:val="es-ES"/>
        </w:rPr>
        <w:t>. RESPONSABILIDADES</w:t>
      </w:r>
    </w:p>
    <w:tbl>
      <w:tblPr>
        <w:tblStyle w:val="TableGrid"/>
        <w:tblW w:w="0" w:type="auto"/>
        <w:tblInd w:w="108" w:type="dxa"/>
        <w:tblLook w:val="04A0" w:firstRow="1" w:lastRow="0" w:firstColumn="1" w:lastColumn="0" w:noHBand="0" w:noVBand="1"/>
      </w:tblPr>
      <w:tblGrid>
        <w:gridCol w:w="2014"/>
        <w:gridCol w:w="8051"/>
      </w:tblGrid>
      <w:tr w:rsidR="00E75A1F" w:rsidRPr="00474866" w14:paraId="6A4DDED5" w14:textId="77777777" w:rsidTr="00CE771C">
        <w:tc>
          <w:tcPr>
            <w:tcW w:w="2014" w:type="dxa"/>
            <w:shd w:val="clear" w:color="auto" w:fill="0070C0"/>
          </w:tcPr>
          <w:p w14:paraId="78A9F250" w14:textId="6C654442" w:rsidR="00E75A1F" w:rsidRPr="00796232" w:rsidRDefault="00E75A1F" w:rsidP="00CE771C">
            <w:pPr>
              <w:tabs>
                <w:tab w:val="right" w:pos="1798"/>
              </w:tabs>
              <w:jc w:val="center"/>
              <w:rPr>
                <w:rFonts w:ascii="Arial" w:hAnsi="Arial" w:cs="Arial"/>
                <w:b/>
                <w:color w:val="FFFFFF" w:themeColor="background1"/>
                <w:lang w:val="es-ES"/>
              </w:rPr>
            </w:pPr>
            <w:r w:rsidRPr="00796232">
              <w:rPr>
                <w:rFonts w:ascii="Arial" w:hAnsi="Arial" w:cs="Arial"/>
                <w:b/>
                <w:color w:val="FFFFFF" w:themeColor="background1"/>
                <w:lang w:val="es-ES"/>
              </w:rPr>
              <w:t>Cargo</w:t>
            </w:r>
          </w:p>
        </w:tc>
        <w:tc>
          <w:tcPr>
            <w:tcW w:w="8051" w:type="dxa"/>
            <w:shd w:val="clear" w:color="auto" w:fill="0070C0"/>
          </w:tcPr>
          <w:p w14:paraId="2AC1DD27" w14:textId="77777777" w:rsidR="00E75A1F" w:rsidRPr="00796232" w:rsidRDefault="00E75A1F" w:rsidP="00CE771C">
            <w:pPr>
              <w:jc w:val="center"/>
              <w:rPr>
                <w:rFonts w:ascii="Arial" w:hAnsi="Arial" w:cs="Arial"/>
                <w:b/>
                <w:color w:val="FFFFFF" w:themeColor="background1"/>
                <w:lang w:val="es-ES"/>
              </w:rPr>
            </w:pPr>
            <w:r w:rsidRPr="00796232">
              <w:rPr>
                <w:rFonts w:ascii="Arial" w:hAnsi="Arial" w:cs="Arial"/>
                <w:b/>
                <w:color w:val="FFFFFF" w:themeColor="background1"/>
                <w:lang w:val="es-ES"/>
              </w:rPr>
              <w:t>Descripción</w:t>
            </w:r>
          </w:p>
        </w:tc>
      </w:tr>
      <w:tr w:rsidR="005732A3" w:rsidRPr="005732A3" w14:paraId="1EFFB697" w14:textId="77777777" w:rsidTr="00EF2D3C">
        <w:tc>
          <w:tcPr>
            <w:tcW w:w="2014" w:type="dxa"/>
          </w:tcPr>
          <w:p w14:paraId="2BEE2641" w14:textId="77777777" w:rsidR="006A1D29" w:rsidRPr="005732A3" w:rsidRDefault="006A1D29" w:rsidP="005732A3">
            <w:pPr>
              <w:jc w:val="both"/>
              <w:rPr>
                <w:rFonts w:ascii="Arial" w:hAnsi="Arial" w:cs="Arial"/>
                <w:b/>
                <w:bCs/>
                <w:lang w:val="es-ES"/>
              </w:rPr>
            </w:pPr>
          </w:p>
          <w:p w14:paraId="486A7E06" w14:textId="0A95B284" w:rsidR="00E75A1F" w:rsidRPr="005732A3" w:rsidRDefault="00E75A1F" w:rsidP="005732A3">
            <w:pPr>
              <w:jc w:val="both"/>
              <w:rPr>
                <w:rFonts w:ascii="Arial" w:hAnsi="Arial" w:cs="Arial"/>
                <w:b/>
                <w:bCs/>
                <w:lang w:val="es-ES"/>
              </w:rPr>
            </w:pPr>
            <w:r w:rsidRPr="005732A3">
              <w:rPr>
                <w:rFonts w:ascii="Arial" w:hAnsi="Arial" w:cs="Arial"/>
                <w:b/>
                <w:bCs/>
                <w:lang w:val="es-ES"/>
              </w:rPr>
              <w:t>Jefe de Auditoría</w:t>
            </w:r>
          </w:p>
        </w:tc>
        <w:tc>
          <w:tcPr>
            <w:tcW w:w="8051" w:type="dxa"/>
          </w:tcPr>
          <w:p w14:paraId="29D45AC7"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Supervisión y cumplimiento: Asegura que se implementen las salvaguardas para la objetividad y gestiona su monitoreo continuo.</w:t>
            </w:r>
          </w:p>
          <w:p w14:paraId="52AB5C68"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Declaraciones y documentación: Firma y supervisa las declaraciones de conflictos de interés y la entrega del Código de Ética.</w:t>
            </w:r>
          </w:p>
          <w:p w14:paraId="1304F300"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Rotación de auditores: Evalúa y documenta la asignación de auditores para evitar revisiones repetitivas en la misma área.</w:t>
            </w:r>
          </w:p>
          <w:p w14:paraId="3FEB0C16"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Capacitación: Incluye formación sobre objetividad en el plan anual de competencias.</w:t>
            </w:r>
          </w:p>
          <w:p w14:paraId="373B6D9A"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Revisión y reportes: Evalúa impedimentos, comunica riesgos al Jefe de Servicio y documenta medidas correctivas.</w:t>
            </w:r>
          </w:p>
          <w:p w14:paraId="785CE665" w14:textId="7DE87CF7" w:rsidR="00E75A1F"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Aprobación de informes: Verifica que los resultados de auditoría sean revisados antes de su comunicación.</w:t>
            </w:r>
          </w:p>
        </w:tc>
      </w:tr>
      <w:tr w:rsidR="005732A3" w:rsidRPr="005732A3" w14:paraId="250BD160" w14:textId="77777777" w:rsidTr="00EF2D3C">
        <w:tc>
          <w:tcPr>
            <w:tcW w:w="2014" w:type="dxa"/>
          </w:tcPr>
          <w:p w14:paraId="758AB309" w14:textId="77777777" w:rsidR="006A1D29" w:rsidRPr="005732A3" w:rsidRDefault="006A1D29" w:rsidP="005732A3">
            <w:pPr>
              <w:jc w:val="both"/>
              <w:rPr>
                <w:rFonts w:ascii="Arial" w:hAnsi="Arial" w:cs="Arial"/>
                <w:b/>
                <w:bCs/>
                <w:lang w:val="es-ES"/>
              </w:rPr>
            </w:pPr>
          </w:p>
          <w:p w14:paraId="530C891C" w14:textId="6A3E5D35" w:rsidR="00E75A1F" w:rsidRPr="005732A3" w:rsidRDefault="00E75A1F" w:rsidP="005732A3">
            <w:pPr>
              <w:jc w:val="both"/>
              <w:rPr>
                <w:rFonts w:ascii="Arial" w:hAnsi="Arial" w:cs="Arial"/>
                <w:b/>
                <w:bCs/>
                <w:lang w:val="es-ES"/>
              </w:rPr>
            </w:pPr>
            <w:r w:rsidRPr="005732A3">
              <w:rPr>
                <w:rFonts w:ascii="Arial" w:hAnsi="Arial" w:cs="Arial"/>
                <w:b/>
                <w:bCs/>
                <w:lang w:val="es-ES"/>
              </w:rPr>
              <w:t>Supervisor</w:t>
            </w:r>
          </w:p>
        </w:tc>
        <w:tc>
          <w:tcPr>
            <w:tcW w:w="8051" w:type="dxa"/>
          </w:tcPr>
          <w:p w14:paraId="6B98EB34"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Monitoreo de conflictos de interés: Revisa y valida las declaraciones de conflictos de interés del equipo.</w:t>
            </w:r>
          </w:p>
          <w:p w14:paraId="64842106"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 xml:space="preserve">Supervisión de auditorías: Asegura que los trabajos de auditoría sean </w:t>
            </w:r>
            <w:r w:rsidRPr="005732A3">
              <w:rPr>
                <w:rFonts w:ascii="Arial" w:hAnsi="Arial" w:cs="Arial"/>
                <w:bCs/>
                <w:lang w:val="es-ES"/>
              </w:rPr>
              <w:lastRenderedPageBreak/>
              <w:t>realizados objetivamente y documenta las revisiones.</w:t>
            </w:r>
          </w:p>
          <w:p w14:paraId="3BF3DC30"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Aplicación de metodologías: Implementa procesos para la identificación y mitigación de amenazas a la objetividad.</w:t>
            </w:r>
          </w:p>
          <w:p w14:paraId="22F4D13D" w14:textId="155304B1" w:rsidR="00E75A1F"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Validación de rotaciones: Apoya al Jefe de Auditoría en la planificación y ejecución de la rotación de auditores.</w:t>
            </w:r>
          </w:p>
        </w:tc>
      </w:tr>
      <w:tr w:rsidR="00E75A1F" w:rsidRPr="005732A3" w14:paraId="280DAD41" w14:textId="77777777" w:rsidTr="00EF2D3C">
        <w:tc>
          <w:tcPr>
            <w:tcW w:w="2014" w:type="dxa"/>
          </w:tcPr>
          <w:p w14:paraId="4C7960A3" w14:textId="77777777" w:rsidR="006A1D29" w:rsidRPr="005732A3" w:rsidRDefault="006A1D29" w:rsidP="005732A3">
            <w:pPr>
              <w:jc w:val="both"/>
              <w:rPr>
                <w:rFonts w:ascii="Arial" w:hAnsi="Arial" w:cs="Arial"/>
                <w:b/>
                <w:bCs/>
                <w:lang w:val="es-ES"/>
              </w:rPr>
            </w:pPr>
          </w:p>
          <w:p w14:paraId="516C1CE7" w14:textId="397057DE" w:rsidR="00E75A1F" w:rsidRPr="005732A3" w:rsidRDefault="00E75A1F" w:rsidP="005732A3">
            <w:pPr>
              <w:jc w:val="both"/>
              <w:rPr>
                <w:rFonts w:ascii="Arial" w:hAnsi="Arial" w:cs="Arial"/>
                <w:b/>
                <w:bCs/>
                <w:lang w:val="es-ES"/>
              </w:rPr>
            </w:pPr>
            <w:r w:rsidRPr="005732A3">
              <w:rPr>
                <w:rFonts w:ascii="Arial" w:hAnsi="Arial" w:cs="Arial"/>
                <w:b/>
                <w:bCs/>
                <w:lang w:val="es-ES"/>
              </w:rPr>
              <w:t xml:space="preserve">Auditor </w:t>
            </w:r>
            <w:r w:rsidR="00CE771C" w:rsidRPr="005732A3">
              <w:rPr>
                <w:rFonts w:ascii="Arial" w:hAnsi="Arial" w:cs="Arial"/>
                <w:b/>
                <w:bCs/>
                <w:lang w:val="es-ES"/>
              </w:rPr>
              <w:t>Interno</w:t>
            </w:r>
          </w:p>
        </w:tc>
        <w:tc>
          <w:tcPr>
            <w:tcW w:w="8051" w:type="dxa"/>
          </w:tcPr>
          <w:p w14:paraId="50D33039"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Cumplimiento ético: Firman la recepción del Código de Ética y completan declaraciones de conflictos de interés.</w:t>
            </w:r>
          </w:p>
          <w:p w14:paraId="50EDC8EE"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Declaración de impedimentos: Informan inmediatamente sobre cualquier posible afectación a su objetividad.</w:t>
            </w:r>
          </w:p>
          <w:p w14:paraId="4D424494"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Trabajo en equipo: Participan en auditorías con enfoque colaborativo y bajo supervisión.</w:t>
            </w:r>
          </w:p>
          <w:p w14:paraId="024DADBF" w14:textId="77777777" w:rsidR="00054939"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Capacitación continua: Asisten a formaciones sobre ética y objetividad en auditoría.</w:t>
            </w:r>
          </w:p>
          <w:p w14:paraId="3B9D9945" w14:textId="790F32E7" w:rsidR="00E75A1F" w:rsidRPr="005732A3" w:rsidRDefault="00054939" w:rsidP="005732A3">
            <w:pPr>
              <w:pStyle w:val="ListParagraph"/>
              <w:numPr>
                <w:ilvl w:val="0"/>
                <w:numId w:val="15"/>
              </w:numPr>
              <w:ind w:left="437"/>
              <w:jc w:val="both"/>
              <w:rPr>
                <w:rFonts w:ascii="Arial" w:hAnsi="Arial" w:cs="Arial"/>
                <w:bCs/>
                <w:lang w:val="es-ES"/>
              </w:rPr>
            </w:pPr>
            <w:r w:rsidRPr="005732A3">
              <w:rPr>
                <w:rFonts w:ascii="Arial" w:hAnsi="Arial" w:cs="Arial"/>
                <w:bCs/>
                <w:lang w:val="es-ES"/>
              </w:rPr>
              <w:t>Registro y documentación: Aseguran que sus evaluaciones y conclusiones sean supervisadas y documentadas.</w:t>
            </w:r>
          </w:p>
        </w:tc>
      </w:tr>
    </w:tbl>
    <w:p w14:paraId="2FBC7181" w14:textId="77777777" w:rsidR="00E75A1F" w:rsidRPr="005732A3" w:rsidRDefault="00E75A1F" w:rsidP="005732A3">
      <w:pPr>
        <w:spacing w:after="0" w:line="240" w:lineRule="auto"/>
        <w:jc w:val="both"/>
        <w:rPr>
          <w:rFonts w:ascii="Arial" w:hAnsi="Arial" w:cs="Arial"/>
          <w:b/>
          <w:lang w:val="es-ES"/>
        </w:rPr>
      </w:pPr>
    </w:p>
    <w:p w14:paraId="3A742087" w14:textId="6A364DC0" w:rsidR="002377D6" w:rsidRPr="005732A3" w:rsidRDefault="0063480E" w:rsidP="005732A3">
      <w:pPr>
        <w:spacing w:line="240" w:lineRule="auto"/>
        <w:jc w:val="both"/>
        <w:rPr>
          <w:rFonts w:ascii="Arial" w:hAnsi="Arial" w:cs="Arial"/>
          <w:b/>
          <w:lang w:val="es-ES"/>
        </w:rPr>
      </w:pPr>
      <w:r w:rsidRPr="005732A3">
        <w:rPr>
          <w:rFonts w:ascii="Arial" w:hAnsi="Arial" w:cs="Arial"/>
          <w:b/>
          <w:lang w:val="es-ES"/>
        </w:rPr>
        <w:t>5</w:t>
      </w:r>
      <w:r w:rsidR="00E75A1F" w:rsidRPr="005732A3">
        <w:rPr>
          <w:rFonts w:ascii="Arial" w:hAnsi="Arial" w:cs="Arial"/>
          <w:b/>
          <w:lang w:val="es-ES"/>
        </w:rPr>
        <w:t xml:space="preserve">. </w:t>
      </w:r>
      <w:r w:rsidR="00796232" w:rsidRPr="005732A3">
        <w:rPr>
          <w:rFonts w:ascii="Arial" w:hAnsi="Arial" w:cs="Arial"/>
          <w:b/>
          <w:lang w:val="es-ES"/>
        </w:rPr>
        <w:t xml:space="preserve">DESCRIPCIÓN </w:t>
      </w:r>
      <w:r w:rsidR="00E75A1F" w:rsidRPr="005732A3">
        <w:rPr>
          <w:rFonts w:ascii="Arial" w:hAnsi="Arial" w:cs="Arial"/>
          <w:b/>
          <w:lang w:val="es-ES"/>
        </w:rPr>
        <w:t xml:space="preserve">PROCEDIMIENTO SALVAGUARDAS </w:t>
      </w:r>
      <w:r w:rsidR="00685553" w:rsidRPr="005732A3">
        <w:rPr>
          <w:rFonts w:ascii="Arial" w:hAnsi="Arial" w:cs="Arial"/>
          <w:b/>
          <w:lang w:val="es-ES"/>
        </w:rPr>
        <w:t>PARA PROTEGER Y MANTENER LA OBJETIVIDAD EN AUDITORÍA INTERNA</w:t>
      </w:r>
    </w:p>
    <w:p w14:paraId="54485C54" w14:textId="4D9611A8" w:rsidR="00E75A1F" w:rsidRPr="005732A3" w:rsidRDefault="00E75A1F" w:rsidP="005732A3">
      <w:pPr>
        <w:spacing w:line="240" w:lineRule="auto"/>
        <w:jc w:val="both"/>
        <w:rPr>
          <w:rFonts w:ascii="Arial" w:hAnsi="Arial" w:cs="Arial"/>
          <w:lang w:val="es-ES"/>
        </w:rPr>
      </w:pPr>
      <w:r w:rsidRPr="005732A3">
        <w:rPr>
          <w:rFonts w:ascii="Arial" w:hAnsi="Arial" w:cs="Arial"/>
          <w:lang w:val="es-ES"/>
        </w:rPr>
        <w:t xml:space="preserve">Para evitar que se creen conflictos de </w:t>
      </w:r>
      <w:r w:rsidR="003B5A26" w:rsidRPr="005732A3">
        <w:rPr>
          <w:rFonts w:ascii="Arial" w:hAnsi="Arial" w:cs="Arial"/>
          <w:lang w:val="es-ES"/>
        </w:rPr>
        <w:t>intereses</w:t>
      </w:r>
      <w:r w:rsidRPr="005732A3">
        <w:rPr>
          <w:rFonts w:ascii="Arial" w:hAnsi="Arial" w:cs="Arial"/>
          <w:lang w:val="es-ES"/>
        </w:rPr>
        <w:t xml:space="preserve"> o cualquier situación que pueda afectar real o aparentemente la objetividad de</w:t>
      </w:r>
      <w:r w:rsidR="008F4E49" w:rsidRPr="005732A3">
        <w:rPr>
          <w:rFonts w:ascii="Arial" w:hAnsi="Arial" w:cs="Arial"/>
          <w:lang w:val="es-ES"/>
        </w:rPr>
        <w:t xml:space="preserve">l Jefe </w:t>
      </w:r>
      <w:r w:rsidR="005A41F5" w:rsidRPr="005732A3">
        <w:rPr>
          <w:rFonts w:ascii="Arial" w:hAnsi="Arial" w:cs="Arial"/>
          <w:lang w:val="es-ES"/>
        </w:rPr>
        <w:t xml:space="preserve">de </w:t>
      </w:r>
      <w:r w:rsidR="008F4E49" w:rsidRPr="005732A3">
        <w:rPr>
          <w:rFonts w:ascii="Arial" w:hAnsi="Arial" w:cs="Arial"/>
          <w:lang w:val="es-ES"/>
        </w:rPr>
        <w:t>Auditoría y</w:t>
      </w:r>
      <w:r w:rsidR="005A41F5" w:rsidRPr="005732A3">
        <w:rPr>
          <w:rFonts w:ascii="Arial" w:hAnsi="Arial" w:cs="Arial"/>
          <w:lang w:val="es-ES"/>
        </w:rPr>
        <w:t xml:space="preserve"> </w:t>
      </w:r>
      <w:r w:rsidR="007C6DD0" w:rsidRPr="005732A3">
        <w:rPr>
          <w:rFonts w:ascii="Arial" w:hAnsi="Arial" w:cs="Arial"/>
          <w:lang w:val="es-ES"/>
        </w:rPr>
        <w:t xml:space="preserve">de los </w:t>
      </w:r>
      <w:r w:rsidRPr="005732A3">
        <w:rPr>
          <w:rFonts w:ascii="Arial" w:hAnsi="Arial" w:cs="Arial"/>
          <w:lang w:val="es-ES"/>
        </w:rPr>
        <w:t>auditores internos, se definirán las siguientes salvaguardas:</w:t>
      </w:r>
    </w:p>
    <w:p w14:paraId="770AE8CA" w14:textId="78EF0477" w:rsidR="00E75A1F" w:rsidRPr="005732A3" w:rsidRDefault="00E75A1F" w:rsidP="005732A3">
      <w:pPr>
        <w:pStyle w:val="ListParagraph"/>
        <w:numPr>
          <w:ilvl w:val="0"/>
          <w:numId w:val="1"/>
        </w:numPr>
        <w:spacing w:after="160" w:line="259" w:lineRule="auto"/>
        <w:jc w:val="both"/>
        <w:rPr>
          <w:rFonts w:ascii="Arial" w:hAnsi="Arial" w:cs="Arial"/>
          <w:lang w:val="es-ES"/>
        </w:rPr>
      </w:pPr>
      <w:r w:rsidRPr="005732A3">
        <w:rPr>
          <w:rFonts w:ascii="Arial" w:hAnsi="Arial" w:cs="Arial"/>
          <w:lang w:val="es-ES"/>
        </w:rPr>
        <w:t xml:space="preserve">Al ingresar a </w:t>
      </w:r>
      <w:r w:rsidR="00896E51" w:rsidRPr="005732A3">
        <w:rPr>
          <w:rFonts w:ascii="Arial" w:hAnsi="Arial" w:cs="Arial"/>
          <w:lang w:val="es-ES"/>
        </w:rPr>
        <w:t xml:space="preserve">la </w:t>
      </w:r>
      <w:r w:rsidR="0041208D" w:rsidRPr="005732A3">
        <w:rPr>
          <w:rFonts w:ascii="Arial" w:hAnsi="Arial" w:cs="Arial"/>
          <w:lang w:val="es-ES"/>
        </w:rPr>
        <w:t>función</w:t>
      </w:r>
      <w:r w:rsidR="007E6D11" w:rsidRPr="005732A3">
        <w:rPr>
          <w:rFonts w:ascii="Arial" w:hAnsi="Arial" w:cs="Arial"/>
          <w:lang w:val="es-ES"/>
        </w:rPr>
        <w:t xml:space="preserve"> de auditoría interna</w:t>
      </w:r>
      <w:r w:rsidRPr="005732A3">
        <w:rPr>
          <w:rFonts w:ascii="Arial" w:hAnsi="Arial" w:cs="Arial"/>
          <w:lang w:val="es-ES"/>
        </w:rPr>
        <w:t xml:space="preserve">, </w:t>
      </w:r>
      <w:r w:rsidR="008F4E49" w:rsidRPr="005732A3">
        <w:rPr>
          <w:rFonts w:ascii="Arial" w:hAnsi="Arial" w:cs="Arial"/>
          <w:lang w:val="es-ES"/>
        </w:rPr>
        <w:t xml:space="preserve">al Jefe de Auditoría </w:t>
      </w:r>
      <w:r w:rsidR="00273164" w:rsidRPr="005732A3">
        <w:rPr>
          <w:rFonts w:ascii="Arial" w:hAnsi="Arial" w:cs="Arial"/>
          <w:lang w:val="es-ES"/>
        </w:rPr>
        <w:t xml:space="preserve">y </w:t>
      </w:r>
      <w:r w:rsidR="008F4E49" w:rsidRPr="005732A3">
        <w:rPr>
          <w:rFonts w:ascii="Arial" w:hAnsi="Arial" w:cs="Arial"/>
          <w:lang w:val="es-ES"/>
        </w:rPr>
        <w:t xml:space="preserve">a </w:t>
      </w:r>
      <w:r w:rsidR="00273164" w:rsidRPr="005732A3">
        <w:rPr>
          <w:rFonts w:ascii="Arial" w:hAnsi="Arial" w:cs="Arial"/>
          <w:lang w:val="es-ES"/>
        </w:rPr>
        <w:t>cada</w:t>
      </w:r>
      <w:r w:rsidRPr="005732A3">
        <w:rPr>
          <w:rFonts w:ascii="Arial" w:hAnsi="Arial" w:cs="Arial"/>
          <w:lang w:val="es-ES"/>
        </w:rPr>
        <w:t xml:space="preserve"> auditor </w:t>
      </w:r>
      <w:r w:rsidR="008F4E49" w:rsidRPr="005732A3">
        <w:rPr>
          <w:rFonts w:ascii="Arial" w:hAnsi="Arial" w:cs="Arial"/>
          <w:lang w:val="es-ES"/>
        </w:rPr>
        <w:t xml:space="preserve">interno, </w:t>
      </w:r>
      <w:r w:rsidRPr="005732A3">
        <w:rPr>
          <w:rFonts w:ascii="Arial" w:hAnsi="Arial" w:cs="Arial"/>
          <w:lang w:val="es-ES"/>
        </w:rPr>
        <w:t>se le</w:t>
      </w:r>
      <w:r w:rsidR="005A41F5" w:rsidRPr="005732A3">
        <w:rPr>
          <w:rFonts w:ascii="Arial" w:hAnsi="Arial" w:cs="Arial"/>
          <w:lang w:val="es-ES"/>
        </w:rPr>
        <w:t>s</w:t>
      </w:r>
      <w:r w:rsidRPr="005732A3">
        <w:rPr>
          <w:rFonts w:ascii="Arial" w:hAnsi="Arial" w:cs="Arial"/>
          <w:lang w:val="es-ES"/>
        </w:rPr>
        <w:t xml:space="preserve"> hará entrega del Código de Ética de </w:t>
      </w:r>
      <w:r w:rsidR="007E6D11" w:rsidRPr="005732A3">
        <w:rPr>
          <w:rFonts w:ascii="Arial" w:hAnsi="Arial" w:cs="Arial"/>
          <w:lang w:val="es-ES"/>
        </w:rPr>
        <w:t xml:space="preserve">la </w:t>
      </w:r>
      <w:r w:rsidR="0041208D" w:rsidRPr="005732A3">
        <w:rPr>
          <w:rFonts w:ascii="Arial" w:hAnsi="Arial" w:cs="Arial"/>
          <w:lang w:val="es-ES"/>
        </w:rPr>
        <w:t>función</w:t>
      </w:r>
      <w:r w:rsidR="007E6D11" w:rsidRPr="005732A3">
        <w:rPr>
          <w:rFonts w:ascii="Arial" w:hAnsi="Arial" w:cs="Arial"/>
          <w:lang w:val="es-ES"/>
        </w:rPr>
        <w:t xml:space="preserve"> de auditoría interna</w:t>
      </w:r>
      <w:r w:rsidRPr="005732A3">
        <w:rPr>
          <w:rFonts w:ascii="Arial" w:hAnsi="Arial" w:cs="Arial"/>
          <w:lang w:val="es-ES"/>
        </w:rPr>
        <w:t xml:space="preserve">, </w:t>
      </w:r>
      <w:r w:rsidR="007E6D11" w:rsidRPr="005732A3">
        <w:rPr>
          <w:rFonts w:ascii="Arial" w:hAnsi="Arial" w:cs="Arial"/>
          <w:lang w:val="es-ES"/>
        </w:rPr>
        <w:t xml:space="preserve">debiendo </w:t>
      </w:r>
      <w:r w:rsidRPr="005732A3">
        <w:rPr>
          <w:rFonts w:ascii="Arial" w:hAnsi="Arial" w:cs="Arial"/>
          <w:lang w:val="es-ES"/>
        </w:rPr>
        <w:t xml:space="preserve">firmar un acta que refleje la entrega, toma de conocimiento y comprensión de los principios y reglas que considera dicho Código. Para lo anterior se utilizará el anexo </w:t>
      </w:r>
      <w:r w:rsidRPr="005732A3">
        <w:rPr>
          <w:rFonts w:ascii="Arial" w:hAnsi="Arial" w:cs="Arial"/>
          <w:b/>
          <w:lang w:val="es-ES"/>
        </w:rPr>
        <w:t xml:space="preserve">Formulario </w:t>
      </w:r>
      <w:r w:rsidR="006D2D40" w:rsidRPr="005732A3">
        <w:rPr>
          <w:rFonts w:ascii="Arial" w:hAnsi="Arial" w:cs="Arial"/>
          <w:b/>
          <w:lang w:val="es-ES"/>
        </w:rPr>
        <w:t>Entrega</w:t>
      </w:r>
      <w:r w:rsidR="007B381B" w:rsidRPr="005732A3">
        <w:rPr>
          <w:rFonts w:ascii="Arial" w:hAnsi="Arial" w:cs="Arial"/>
          <w:b/>
          <w:lang w:val="es-ES"/>
        </w:rPr>
        <w:t xml:space="preserve"> Código de Ética.</w:t>
      </w:r>
      <w:r w:rsidRPr="005732A3">
        <w:rPr>
          <w:rFonts w:ascii="Arial" w:hAnsi="Arial" w:cs="Arial"/>
          <w:lang w:val="es-ES"/>
        </w:rPr>
        <w:t xml:space="preserve"> </w:t>
      </w:r>
    </w:p>
    <w:p w14:paraId="76AE511A" w14:textId="77777777" w:rsidR="00AA26A6" w:rsidRPr="005732A3" w:rsidRDefault="00AA26A6" w:rsidP="005732A3">
      <w:pPr>
        <w:pStyle w:val="ListParagraph"/>
        <w:spacing w:after="160" w:line="259" w:lineRule="auto"/>
        <w:ind w:left="360"/>
        <w:jc w:val="both"/>
        <w:rPr>
          <w:rFonts w:ascii="Arial" w:hAnsi="Arial" w:cs="Arial"/>
          <w:lang w:val="es-ES"/>
        </w:rPr>
      </w:pPr>
    </w:p>
    <w:p w14:paraId="78918B42" w14:textId="4355A3B1" w:rsidR="00E75A1F" w:rsidRPr="005732A3" w:rsidRDefault="00E75A1F" w:rsidP="005732A3">
      <w:pPr>
        <w:pStyle w:val="ListParagraph"/>
        <w:numPr>
          <w:ilvl w:val="0"/>
          <w:numId w:val="1"/>
        </w:numPr>
        <w:spacing w:after="160" w:line="259" w:lineRule="auto"/>
        <w:jc w:val="both"/>
        <w:rPr>
          <w:rFonts w:ascii="Arial" w:hAnsi="Arial" w:cs="Arial"/>
          <w:lang w:val="es-ES"/>
        </w:rPr>
      </w:pPr>
      <w:r w:rsidRPr="005732A3">
        <w:rPr>
          <w:rFonts w:ascii="Arial" w:hAnsi="Arial" w:cs="Arial"/>
          <w:lang w:val="es-ES"/>
        </w:rPr>
        <w:t xml:space="preserve">Al ingresar a </w:t>
      </w:r>
      <w:r w:rsidR="007409AF" w:rsidRPr="005732A3">
        <w:rPr>
          <w:rFonts w:ascii="Arial" w:hAnsi="Arial" w:cs="Arial"/>
          <w:lang w:val="es-ES"/>
        </w:rPr>
        <w:t xml:space="preserve">la </w:t>
      </w:r>
      <w:r w:rsidR="0041208D" w:rsidRPr="005732A3">
        <w:rPr>
          <w:rFonts w:ascii="Arial" w:hAnsi="Arial" w:cs="Arial"/>
          <w:lang w:val="es-ES"/>
        </w:rPr>
        <w:t>función</w:t>
      </w:r>
      <w:r w:rsidR="007E6D11" w:rsidRPr="005732A3">
        <w:rPr>
          <w:rFonts w:ascii="Arial" w:hAnsi="Arial" w:cs="Arial"/>
          <w:lang w:val="es-ES"/>
        </w:rPr>
        <w:t xml:space="preserve"> de auditoría interna </w:t>
      </w:r>
      <w:r w:rsidRPr="005732A3">
        <w:rPr>
          <w:rFonts w:ascii="Arial" w:hAnsi="Arial" w:cs="Arial"/>
          <w:lang w:val="es-ES"/>
        </w:rPr>
        <w:t xml:space="preserve">y en forma anual (actualización), </w:t>
      </w:r>
      <w:r w:rsidR="007C6DD0" w:rsidRPr="005732A3">
        <w:rPr>
          <w:rFonts w:ascii="Arial" w:hAnsi="Arial" w:cs="Arial"/>
          <w:lang w:val="es-ES"/>
        </w:rPr>
        <w:t>la Jefatura de Auditorí</w:t>
      </w:r>
      <w:r w:rsidR="005A41F5" w:rsidRPr="005732A3">
        <w:rPr>
          <w:rFonts w:ascii="Arial" w:hAnsi="Arial" w:cs="Arial"/>
          <w:lang w:val="es-ES"/>
        </w:rPr>
        <w:t xml:space="preserve">a y </w:t>
      </w:r>
      <w:r w:rsidRPr="005732A3">
        <w:rPr>
          <w:rFonts w:ascii="Arial" w:hAnsi="Arial" w:cs="Arial"/>
          <w:lang w:val="es-ES"/>
        </w:rPr>
        <w:t xml:space="preserve">cada </w:t>
      </w:r>
      <w:r w:rsidR="00DC024A" w:rsidRPr="005732A3">
        <w:rPr>
          <w:rFonts w:ascii="Arial" w:hAnsi="Arial" w:cs="Arial"/>
          <w:lang w:val="es-ES"/>
        </w:rPr>
        <w:t>auditor interno</w:t>
      </w:r>
      <w:r w:rsidR="007B381B" w:rsidRPr="005732A3">
        <w:rPr>
          <w:rFonts w:ascii="Arial" w:hAnsi="Arial" w:cs="Arial"/>
          <w:lang w:val="es-ES"/>
        </w:rPr>
        <w:t xml:space="preserve"> </w:t>
      </w:r>
      <w:r w:rsidRPr="005732A3">
        <w:rPr>
          <w:rFonts w:ascii="Arial" w:hAnsi="Arial" w:cs="Arial"/>
          <w:lang w:val="es-ES"/>
        </w:rPr>
        <w:t xml:space="preserve">llenará una declaración jurada acerca de sus trabajos anteriores que pudieran afectar su objetividad en trabajos </w:t>
      </w:r>
      <w:r w:rsidR="007409AF" w:rsidRPr="005732A3">
        <w:rPr>
          <w:rFonts w:ascii="Arial" w:hAnsi="Arial" w:cs="Arial"/>
          <w:lang w:val="es-ES"/>
        </w:rPr>
        <w:t>de auditoría interna</w:t>
      </w:r>
      <w:r w:rsidR="007B381B" w:rsidRPr="005732A3">
        <w:rPr>
          <w:rFonts w:ascii="Arial" w:hAnsi="Arial" w:cs="Arial"/>
          <w:lang w:val="es-ES"/>
        </w:rPr>
        <w:t xml:space="preserve"> en el anexo </w:t>
      </w:r>
      <w:r w:rsidRPr="005732A3">
        <w:rPr>
          <w:rFonts w:ascii="Arial" w:hAnsi="Arial" w:cs="Arial"/>
          <w:b/>
          <w:lang w:val="es-ES"/>
        </w:rPr>
        <w:t xml:space="preserve">Formulario </w:t>
      </w:r>
      <w:r w:rsidR="007B381B" w:rsidRPr="005732A3">
        <w:rPr>
          <w:rFonts w:ascii="Arial" w:hAnsi="Arial" w:cs="Arial"/>
          <w:b/>
          <w:lang w:val="es-ES"/>
        </w:rPr>
        <w:t xml:space="preserve">Declaración </w:t>
      </w:r>
      <w:r w:rsidR="00FE2A9B" w:rsidRPr="005732A3">
        <w:rPr>
          <w:rFonts w:ascii="Arial" w:hAnsi="Arial" w:cs="Arial"/>
          <w:b/>
          <w:lang w:val="es-ES"/>
        </w:rPr>
        <w:t>de Conflicto de Inter</w:t>
      </w:r>
      <w:r w:rsidR="007C7A8B" w:rsidRPr="005732A3">
        <w:rPr>
          <w:rFonts w:ascii="Arial" w:hAnsi="Arial" w:cs="Arial"/>
          <w:b/>
          <w:lang w:val="es-ES"/>
        </w:rPr>
        <w:t>eses</w:t>
      </w:r>
      <w:r w:rsidR="00FE2A9B" w:rsidRPr="005732A3">
        <w:rPr>
          <w:rFonts w:ascii="Arial" w:hAnsi="Arial" w:cs="Arial"/>
          <w:b/>
          <w:lang w:val="es-ES"/>
        </w:rPr>
        <w:t xml:space="preserve"> de Inicio</w:t>
      </w:r>
      <w:r w:rsidR="00FE2A9B" w:rsidRPr="005732A3">
        <w:rPr>
          <w:rFonts w:ascii="Arial" w:hAnsi="Arial" w:cs="Arial"/>
          <w:lang w:val="es-ES"/>
        </w:rPr>
        <w:t xml:space="preserve"> del Procedimiento </w:t>
      </w:r>
      <w:r w:rsidR="00FF27BD" w:rsidRPr="005732A3">
        <w:rPr>
          <w:rFonts w:ascii="Arial" w:hAnsi="Arial" w:cs="Arial"/>
          <w:lang w:val="es-ES"/>
        </w:rPr>
        <w:t xml:space="preserve">Objetividad y </w:t>
      </w:r>
      <w:r w:rsidR="00FE2A9B" w:rsidRPr="005732A3">
        <w:rPr>
          <w:rFonts w:ascii="Arial" w:hAnsi="Arial" w:cs="Arial"/>
          <w:lang w:val="es-ES"/>
        </w:rPr>
        <w:t xml:space="preserve">Conflictos de </w:t>
      </w:r>
      <w:r w:rsidR="003B5A26" w:rsidRPr="005732A3">
        <w:rPr>
          <w:rFonts w:ascii="Arial" w:hAnsi="Arial" w:cs="Arial"/>
          <w:lang w:val="es-ES"/>
        </w:rPr>
        <w:t>Intereses</w:t>
      </w:r>
      <w:r w:rsidR="00FE2A9B" w:rsidRPr="005732A3">
        <w:rPr>
          <w:rFonts w:ascii="Arial" w:hAnsi="Arial" w:cs="Arial"/>
          <w:lang w:val="es-ES"/>
        </w:rPr>
        <w:t xml:space="preserve"> en Auditoría</w:t>
      </w:r>
      <w:r w:rsidR="00402D51" w:rsidRPr="005732A3">
        <w:rPr>
          <w:rFonts w:ascii="Arial" w:hAnsi="Arial" w:cs="Arial"/>
          <w:lang w:val="es-ES"/>
        </w:rPr>
        <w:t xml:space="preserve"> Interna</w:t>
      </w:r>
      <w:r w:rsidR="00FE2A9B" w:rsidRPr="005732A3">
        <w:rPr>
          <w:rFonts w:ascii="Arial" w:hAnsi="Arial" w:cs="Arial"/>
          <w:lang w:val="es-ES"/>
        </w:rPr>
        <w:t>.</w:t>
      </w:r>
    </w:p>
    <w:p w14:paraId="23316AB6" w14:textId="77777777" w:rsidR="00AA26A6" w:rsidRPr="005732A3" w:rsidRDefault="00AA26A6" w:rsidP="005732A3">
      <w:pPr>
        <w:pStyle w:val="ListParagraph"/>
        <w:rPr>
          <w:rFonts w:ascii="Arial" w:hAnsi="Arial" w:cs="Arial"/>
          <w:lang w:val="es-ES"/>
        </w:rPr>
      </w:pPr>
    </w:p>
    <w:p w14:paraId="4508A61E" w14:textId="126C7D09" w:rsidR="00FE2A9B" w:rsidRPr="005732A3" w:rsidRDefault="00E75A1F" w:rsidP="005732A3">
      <w:pPr>
        <w:pStyle w:val="ListParagraph"/>
        <w:numPr>
          <w:ilvl w:val="0"/>
          <w:numId w:val="1"/>
        </w:numPr>
        <w:jc w:val="both"/>
        <w:rPr>
          <w:rFonts w:ascii="Arial" w:hAnsi="Arial" w:cs="Arial"/>
          <w:lang w:val="es-ES"/>
        </w:rPr>
      </w:pPr>
      <w:r w:rsidRPr="005732A3">
        <w:rPr>
          <w:rFonts w:ascii="Arial" w:hAnsi="Arial" w:cs="Arial"/>
          <w:lang w:val="es-ES"/>
        </w:rPr>
        <w:t xml:space="preserve">Especificar conflictos de intereses: </w:t>
      </w:r>
      <w:r w:rsidR="00FE2A9B" w:rsidRPr="005732A3">
        <w:rPr>
          <w:rFonts w:ascii="Arial" w:hAnsi="Arial" w:cs="Arial"/>
          <w:lang w:val="es-ES"/>
        </w:rPr>
        <w:t>el Jefe</w:t>
      </w:r>
      <w:r w:rsidR="005A41F5" w:rsidRPr="005732A3">
        <w:rPr>
          <w:rFonts w:ascii="Arial" w:hAnsi="Arial" w:cs="Arial"/>
          <w:lang w:val="es-ES"/>
        </w:rPr>
        <w:t xml:space="preserve"> de </w:t>
      </w:r>
      <w:r w:rsidR="008F4E49" w:rsidRPr="005732A3">
        <w:rPr>
          <w:rFonts w:ascii="Arial" w:hAnsi="Arial" w:cs="Arial"/>
          <w:lang w:val="es-ES"/>
        </w:rPr>
        <w:t>Auditoría y</w:t>
      </w:r>
      <w:r w:rsidR="005A41F5" w:rsidRPr="005732A3">
        <w:rPr>
          <w:rFonts w:ascii="Arial" w:hAnsi="Arial" w:cs="Arial"/>
          <w:lang w:val="es-ES"/>
        </w:rPr>
        <w:t xml:space="preserve"> cada auditor </w:t>
      </w:r>
      <w:r w:rsidR="00FE2A9B" w:rsidRPr="005732A3">
        <w:rPr>
          <w:rFonts w:ascii="Arial" w:hAnsi="Arial" w:cs="Arial"/>
          <w:lang w:val="es-ES"/>
        </w:rPr>
        <w:t xml:space="preserve">interno </w:t>
      </w:r>
      <w:r w:rsidRPr="005732A3">
        <w:rPr>
          <w:rFonts w:ascii="Arial" w:hAnsi="Arial" w:cs="Arial"/>
          <w:lang w:val="es-ES"/>
        </w:rPr>
        <w:t xml:space="preserve">debe evitar cualquier situación que pudiera crearle un conflicto de </w:t>
      </w:r>
      <w:r w:rsidR="003B5A26" w:rsidRPr="005732A3">
        <w:rPr>
          <w:rFonts w:ascii="Arial" w:hAnsi="Arial" w:cs="Arial"/>
          <w:lang w:val="es-ES"/>
        </w:rPr>
        <w:t>intereses</w:t>
      </w:r>
      <w:r w:rsidRPr="005732A3">
        <w:rPr>
          <w:rFonts w:ascii="Arial" w:hAnsi="Arial" w:cs="Arial"/>
          <w:lang w:val="es-ES"/>
        </w:rPr>
        <w:t xml:space="preserve"> en el desempeño de sus labores de auditoría interna. En todo caso, si esta situación se diera o se previera que pudiera surgir, el auditor</w:t>
      </w:r>
      <w:r w:rsidR="00FE2A9B" w:rsidRPr="005732A3">
        <w:rPr>
          <w:rFonts w:ascii="Arial" w:hAnsi="Arial" w:cs="Arial"/>
          <w:lang w:val="es-ES"/>
        </w:rPr>
        <w:t xml:space="preserve"> interno</w:t>
      </w:r>
      <w:r w:rsidRPr="005732A3">
        <w:rPr>
          <w:rFonts w:ascii="Arial" w:hAnsi="Arial" w:cs="Arial"/>
          <w:lang w:val="es-ES"/>
        </w:rPr>
        <w:t xml:space="preserve"> debe comunicar a su superior jerárquico y según corresponda, es decir, Supervisor, Jefe de Auditoría y Jefe de Servicio</w:t>
      </w:r>
      <w:r w:rsidR="007409AF" w:rsidRPr="005732A3">
        <w:rPr>
          <w:rFonts w:ascii="Arial" w:hAnsi="Arial" w:cs="Arial"/>
          <w:lang w:val="es-ES"/>
        </w:rPr>
        <w:t>,</w:t>
      </w:r>
      <w:r w:rsidRPr="005732A3">
        <w:rPr>
          <w:rFonts w:ascii="Arial" w:hAnsi="Arial" w:cs="Arial"/>
          <w:lang w:val="es-ES"/>
        </w:rPr>
        <w:t xml:space="preserve"> la existencia de dicho conflicto o conflictos de intereses</w:t>
      </w:r>
      <w:r w:rsidR="00AA26A6" w:rsidRPr="005732A3">
        <w:rPr>
          <w:rFonts w:ascii="Arial" w:hAnsi="Arial" w:cs="Arial"/>
          <w:lang w:val="es-ES"/>
        </w:rPr>
        <w:t>. Para ello, realizará</w:t>
      </w:r>
      <w:r w:rsidRPr="005732A3">
        <w:rPr>
          <w:rFonts w:ascii="Arial" w:hAnsi="Arial" w:cs="Arial"/>
          <w:lang w:val="es-ES"/>
        </w:rPr>
        <w:t xml:space="preserve"> una declaración escrita de responsabilidades</w:t>
      </w:r>
      <w:r w:rsidR="00FE2A9B" w:rsidRPr="005732A3">
        <w:rPr>
          <w:rFonts w:ascii="Arial" w:hAnsi="Arial" w:cs="Arial"/>
          <w:lang w:val="es-ES"/>
        </w:rPr>
        <w:t xml:space="preserve"> </w:t>
      </w:r>
      <w:r w:rsidR="00AA26A6" w:rsidRPr="005732A3">
        <w:rPr>
          <w:rFonts w:ascii="Arial" w:hAnsi="Arial" w:cs="Arial"/>
          <w:lang w:val="es-ES"/>
        </w:rPr>
        <w:t>utilizando el</w:t>
      </w:r>
      <w:r w:rsidRPr="005732A3">
        <w:rPr>
          <w:rFonts w:ascii="Arial" w:hAnsi="Arial" w:cs="Arial"/>
          <w:lang w:val="es-ES"/>
        </w:rPr>
        <w:t xml:space="preserve"> </w:t>
      </w:r>
      <w:r w:rsidRPr="005732A3">
        <w:rPr>
          <w:rFonts w:ascii="Arial" w:hAnsi="Arial" w:cs="Arial"/>
          <w:b/>
          <w:lang w:val="es-ES"/>
        </w:rPr>
        <w:t xml:space="preserve">Formulario </w:t>
      </w:r>
      <w:r w:rsidR="00FE2A9B" w:rsidRPr="005732A3">
        <w:rPr>
          <w:rFonts w:ascii="Arial" w:hAnsi="Arial" w:cs="Arial"/>
          <w:b/>
          <w:lang w:val="es-ES"/>
        </w:rPr>
        <w:t>Declaración de Conflicto de Inter</w:t>
      </w:r>
      <w:r w:rsidR="007C7A8B" w:rsidRPr="005732A3">
        <w:rPr>
          <w:rFonts w:ascii="Arial" w:hAnsi="Arial" w:cs="Arial"/>
          <w:b/>
          <w:lang w:val="es-ES"/>
        </w:rPr>
        <w:t>eses</w:t>
      </w:r>
      <w:r w:rsidR="00FE2A9B" w:rsidRPr="005732A3">
        <w:rPr>
          <w:rFonts w:ascii="Arial" w:hAnsi="Arial" w:cs="Arial"/>
          <w:b/>
          <w:lang w:val="es-ES"/>
        </w:rPr>
        <w:t xml:space="preserve"> Previo al Trabajo</w:t>
      </w:r>
      <w:r w:rsidR="00FE2A9B" w:rsidRPr="005732A3">
        <w:t xml:space="preserve"> </w:t>
      </w:r>
      <w:r w:rsidR="00FE2A9B" w:rsidRPr="005732A3">
        <w:rPr>
          <w:rFonts w:ascii="Arial" w:hAnsi="Arial" w:cs="Arial"/>
          <w:lang w:val="es-ES"/>
        </w:rPr>
        <w:t xml:space="preserve">del </w:t>
      </w:r>
      <w:r w:rsidR="00FE3435" w:rsidRPr="005732A3">
        <w:rPr>
          <w:rFonts w:ascii="Arial" w:hAnsi="Arial" w:cs="Arial"/>
          <w:lang w:val="es-ES"/>
        </w:rPr>
        <w:t>Procedimiento Objetividad y Conflictos de Intereses en Auditoría Interna</w:t>
      </w:r>
      <w:r w:rsidR="00FE2A9B" w:rsidRPr="005732A3">
        <w:rPr>
          <w:rFonts w:ascii="Arial" w:hAnsi="Arial" w:cs="Arial"/>
          <w:lang w:val="es-ES"/>
        </w:rPr>
        <w:t>.</w:t>
      </w:r>
    </w:p>
    <w:p w14:paraId="0298692D" w14:textId="77D99F2B" w:rsidR="00E75A1F" w:rsidRPr="005732A3" w:rsidRDefault="00E75A1F" w:rsidP="005732A3">
      <w:pPr>
        <w:pStyle w:val="ListParagraph"/>
        <w:spacing w:after="160" w:line="259" w:lineRule="auto"/>
        <w:ind w:left="360"/>
        <w:jc w:val="both"/>
        <w:rPr>
          <w:rFonts w:ascii="Arial" w:hAnsi="Arial" w:cs="Arial"/>
          <w:lang w:val="es-ES"/>
        </w:rPr>
      </w:pPr>
    </w:p>
    <w:p w14:paraId="2C07A31D" w14:textId="5BF797ED" w:rsidR="00E75A1F" w:rsidRPr="005732A3" w:rsidRDefault="008F4E49" w:rsidP="005732A3">
      <w:pPr>
        <w:pStyle w:val="ListParagraph"/>
        <w:numPr>
          <w:ilvl w:val="0"/>
          <w:numId w:val="1"/>
        </w:numPr>
        <w:spacing w:after="160" w:line="259" w:lineRule="auto"/>
        <w:jc w:val="both"/>
        <w:rPr>
          <w:rFonts w:ascii="Arial" w:hAnsi="Arial" w:cs="Arial"/>
          <w:lang w:val="es-ES"/>
        </w:rPr>
      </w:pPr>
      <w:r w:rsidRPr="005732A3">
        <w:rPr>
          <w:rFonts w:ascii="Arial" w:hAnsi="Arial" w:cs="Arial"/>
          <w:lang w:val="es-ES"/>
        </w:rPr>
        <w:t xml:space="preserve">El Jefe </w:t>
      </w:r>
      <w:r w:rsidR="007409AF" w:rsidRPr="005732A3">
        <w:rPr>
          <w:rFonts w:ascii="Arial" w:hAnsi="Arial" w:cs="Arial"/>
          <w:lang w:val="es-ES"/>
        </w:rPr>
        <w:t>de Auditorí</w:t>
      </w:r>
      <w:r w:rsidR="005A41F5" w:rsidRPr="005732A3">
        <w:rPr>
          <w:rFonts w:ascii="Arial" w:hAnsi="Arial" w:cs="Arial"/>
          <w:lang w:val="es-ES"/>
        </w:rPr>
        <w:t xml:space="preserve">a rotará a </w:t>
      </w:r>
      <w:r w:rsidR="00273164" w:rsidRPr="005732A3">
        <w:rPr>
          <w:rFonts w:ascii="Arial" w:hAnsi="Arial" w:cs="Arial"/>
          <w:lang w:val="es-ES"/>
        </w:rPr>
        <w:t>los auditores</w:t>
      </w:r>
      <w:r w:rsidR="00E75A1F" w:rsidRPr="005732A3">
        <w:rPr>
          <w:rFonts w:ascii="Arial" w:hAnsi="Arial" w:cs="Arial"/>
          <w:lang w:val="es-ES"/>
        </w:rPr>
        <w:t xml:space="preserve"> internos en sus funciones: </w:t>
      </w:r>
      <w:r w:rsidR="00ED4566" w:rsidRPr="005732A3">
        <w:rPr>
          <w:rFonts w:ascii="Arial" w:hAnsi="Arial" w:cs="Arial"/>
          <w:lang w:val="es-ES"/>
        </w:rPr>
        <w:t>e</w:t>
      </w:r>
      <w:r w:rsidR="00E75A1F" w:rsidRPr="005732A3">
        <w:rPr>
          <w:rFonts w:ascii="Arial" w:hAnsi="Arial" w:cs="Arial"/>
          <w:lang w:val="es-ES"/>
        </w:rPr>
        <w:t xml:space="preserve">n el desempeño de las actividades de auditoría, se promoverá </w:t>
      </w:r>
      <w:r w:rsidRPr="005732A3">
        <w:rPr>
          <w:rFonts w:ascii="Arial" w:hAnsi="Arial" w:cs="Arial"/>
          <w:lang w:val="es-ES"/>
        </w:rPr>
        <w:t xml:space="preserve">la </w:t>
      </w:r>
      <w:r w:rsidR="00E75A1F" w:rsidRPr="005732A3">
        <w:rPr>
          <w:rFonts w:ascii="Arial" w:hAnsi="Arial" w:cs="Arial"/>
          <w:lang w:val="es-ES"/>
        </w:rPr>
        <w:t>rotación de auditores, evitando en lo posible</w:t>
      </w:r>
      <w:r w:rsidR="007B381B" w:rsidRPr="005732A3">
        <w:rPr>
          <w:rFonts w:ascii="Arial" w:hAnsi="Arial" w:cs="Arial"/>
          <w:lang w:val="es-ES"/>
        </w:rPr>
        <w:t>,</w:t>
      </w:r>
      <w:r w:rsidR="00E75A1F" w:rsidRPr="005732A3">
        <w:rPr>
          <w:rFonts w:ascii="Arial" w:hAnsi="Arial" w:cs="Arial"/>
          <w:lang w:val="es-ES"/>
        </w:rPr>
        <w:t xml:space="preserve"> </w:t>
      </w:r>
      <w:proofErr w:type="gramStart"/>
      <w:r w:rsidR="00E75A1F" w:rsidRPr="005732A3">
        <w:rPr>
          <w:rFonts w:ascii="Arial" w:hAnsi="Arial" w:cs="Arial"/>
          <w:lang w:val="es-ES"/>
        </w:rPr>
        <w:t>de acuerdo a</w:t>
      </w:r>
      <w:proofErr w:type="gramEnd"/>
      <w:r w:rsidR="00E75A1F" w:rsidRPr="005732A3">
        <w:rPr>
          <w:rFonts w:ascii="Arial" w:hAnsi="Arial" w:cs="Arial"/>
          <w:lang w:val="es-ES"/>
        </w:rPr>
        <w:t xml:space="preserve"> los tiempos y </w:t>
      </w:r>
      <w:r w:rsidRPr="005732A3">
        <w:rPr>
          <w:rFonts w:ascii="Arial" w:hAnsi="Arial" w:cs="Arial"/>
          <w:lang w:val="es-ES"/>
        </w:rPr>
        <w:t xml:space="preserve">al </w:t>
      </w:r>
      <w:r w:rsidR="00E75A1F" w:rsidRPr="005732A3">
        <w:rPr>
          <w:rFonts w:ascii="Arial" w:hAnsi="Arial" w:cs="Arial"/>
          <w:lang w:val="es-ES"/>
        </w:rPr>
        <w:t xml:space="preserve">personal, que un mismo auditor </w:t>
      </w:r>
      <w:r w:rsidR="007B381B" w:rsidRPr="005732A3">
        <w:rPr>
          <w:rFonts w:ascii="Arial" w:hAnsi="Arial" w:cs="Arial"/>
          <w:lang w:val="es-ES"/>
        </w:rPr>
        <w:t xml:space="preserve">interno </w:t>
      </w:r>
      <w:r w:rsidR="00E75A1F" w:rsidRPr="005732A3">
        <w:rPr>
          <w:rFonts w:ascii="Arial" w:hAnsi="Arial" w:cs="Arial"/>
          <w:lang w:val="es-ES"/>
        </w:rPr>
        <w:t xml:space="preserve">revise una misma actividad </w:t>
      </w:r>
      <w:r w:rsidR="007B381B" w:rsidRPr="005732A3">
        <w:rPr>
          <w:rFonts w:ascii="Arial" w:hAnsi="Arial" w:cs="Arial"/>
          <w:lang w:val="es-ES"/>
        </w:rPr>
        <w:t xml:space="preserve">operativa </w:t>
      </w:r>
      <w:r w:rsidR="00E75A1F" w:rsidRPr="005732A3">
        <w:rPr>
          <w:rFonts w:ascii="Arial" w:hAnsi="Arial" w:cs="Arial"/>
          <w:lang w:val="es-ES"/>
        </w:rPr>
        <w:t>durante más de dos periodos anuales continuos. Lo anterior será analizado por el Jefe de Auditoría en el periodo de selección del equipo que participará en el trabajo</w:t>
      </w:r>
      <w:r w:rsidR="007B381B" w:rsidRPr="005732A3">
        <w:rPr>
          <w:rFonts w:ascii="Arial" w:hAnsi="Arial" w:cs="Arial"/>
          <w:lang w:val="es-ES"/>
        </w:rPr>
        <w:t xml:space="preserve"> o asignación</w:t>
      </w:r>
      <w:r w:rsidR="00E75A1F" w:rsidRPr="005732A3">
        <w:rPr>
          <w:rFonts w:ascii="Arial" w:hAnsi="Arial" w:cs="Arial"/>
          <w:lang w:val="es-ES"/>
        </w:rPr>
        <w:t xml:space="preserve">, quedando tal análisis plasmado en los </w:t>
      </w:r>
      <w:r w:rsidR="007B381B" w:rsidRPr="005732A3">
        <w:rPr>
          <w:rFonts w:ascii="Arial" w:hAnsi="Arial" w:cs="Arial"/>
          <w:lang w:val="es-ES"/>
        </w:rPr>
        <w:t xml:space="preserve">papeles de trabajo </w:t>
      </w:r>
      <w:r w:rsidR="00E75A1F" w:rsidRPr="005732A3">
        <w:rPr>
          <w:rFonts w:ascii="Arial" w:hAnsi="Arial" w:cs="Arial"/>
          <w:lang w:val="es-ES"/>
        </w:rPr>
        <w:t xml:space="preserve">de planificación del </w:t>
      </w:r>
      <w:r w:rsidR="007B381B" w:rsidRPr="005732A3">
        <w:rPr>
          <w:rFonts w:ascii="Arial" w:hAnsi="Arial" w:cs="Arial"/>
          <w:lang w:val="es-ES"/>
        </w:rPr>
        <w:t>proyecto</w:t>
      </w:r>
      <w:r w:rsidR="00E75A1F" w:rsidRPr="005732A3">
        <w:rPr>
          <w:rFonts w:ascii="Arial" w:hAnsi="Arial" w:cs="Arial"/>
          <w:lang w:val="es-ES"/>
        </w:rPr>
        <w:t>.</w:t>
      </w:r>
    </w:p>
    <w:p w14:paraId="5181007F" w14:textId="77777777" w:rsidR="00FE3435" w:rsidRPr="005732A3" w:rsidRDefault="00FE3435" w:rsidP="005732A3">
      <w:pPr>
        <w:pStyle w:val="ListParagraph"/>
        <w:rPr>
          <w:rFonts w:ascii="Arial" w:hAnsi="Arial" w:cs="Arial"/>
          <w:lang w:val="es-ES"/>
        </w:rPr>
      </w:pPr>
    </w:p>
    <w:p w14:paraId="3C09591E" w14:textId="628B46BB" w:rsidR="00E75A1F" w:rsidRPr="005732A3" w:rsidRDefault="00E75A1F" w:rsidP="005732A3">
      <w:pPr>
        <w:pStyle w:val="ListParagraph"/>
        <w:numPr>
          <w:ilvl w:val="0"/>
          <w:numId w:val="1"/>
        </w:numPr>
        <w:spacing w:after="160" w:line="259" w:lineRule="auto"/>
        <w:jc w:val="both"/>
        <w:rPr>
          <w:rFonts w:ascii="Arial" w:hAnsi="Arial" w:cs="Arial"/>
          <w:lang w:val="es-ES"/>
        </w:rPr>
      </w:pPr>
      <w:r w:rsidRPr="005732A3">
        <w:rPr>
          <w:rFonts w:ascii="Arial" w:hAnsi="Arial" w:cs="Arial"/>
          <w:lang w:val="es-ES"/>
        </w:rPr>
        <w:t xml:space="preserve">Los auditores de </w:t>
      </w:r>
      <w:r w:rsidR="007409AF" w:rsidRPr="005732A3">
        <w:rPr>
          <w:rFonts w:ascii="Arial" w:hAnsi="Arial" w:cs="Arial"/>
          <w:lang w:val="es-ES"/>
        </w:rPr>
        <w:t xml:space="preserve">la </w:t>
      </w:r>
      <w:r w:rsidR="0041208D" w:rsidRPr="005732A3">
        <w:rPr>
          <w:rFonts w:ascii="Arial" w:hAnsi="Arial" w:cs="Arial"/>
          <w:lang w:val="es-ES"/>
        </w:rPr>
        <w:t>función</w:t>
      </w:r>
      <w:r w:rsidR="007B381B" w:rsidRPr="005732A3">
        <w:rPr>
          <w:rFonts w:ascii="Arial" w:hAnsi="Arial" w:cs="Arial"/>
          <w:lang w:val="es-ES"/>
        </w:rPr>
        <w:t xml:space="preserve"> de auditoría interna </w:t>
      </w:r>
      <w:r w:rsidRPr="005732A3">
        <w:rPr>
          <w:rFonts w:ascii="Arial" w:hAnsi="Arial" w:cs="Arial"/>
          <w:lang w:val="es-ES"/>
        </w:rPr>
        <w:t xml:space="preserve">deberán abstenerse de evaluar operaciones específicas de las cuales hayan sido previamente responsables. Se presume </w:t>
      </w:r>
      <w:r w:rsidR="00AA26A6" w:rsidRPr="005732A3">
        <w:rPr>
          <w:rFonts w:ascii="Arial" w:hAnsi="Arial" w:cs="Arial"/>
          <w:lang w:val="es-ES"/>
        </w:rPr>
        <w:t xml:space="preserve">según las Normas </w:t>
      </w:r>
      <w:r w:rsidRPr="005732A3">
        <w:rPr>
          <w:rFonts w:ascii="Arial" w:hAnsi="Arial" w:cs="Arial"/>
          <w:lang w:val="es-ES"/>
        </w:rPr>
        <w:t xml:space="preserve">que hay limitaciones o impedimentos a la objetividad si un auditor provee servicios de auditoría interna para una actividad sobre la cual él mismo haya tenido responsabilidades </w:t>
      </w:r>
      <w:r w:rsidR="00CA2AAD" w:rsidRPr="005732A3">
        <w:rPr>
          <w:rFonts w:ascii="Arial" w:hAnsi="Arial" w:cs="Arial"/>
          <w:lang w:val="es-ES"/>
        </w:rPr>
        <w:t>directas durante los 12 meses anteriores.</w:t>
      </w:r>
    </w:p>
    <w:p w14:paraId="269E5E94" w14:textId="77777777" w:rsidR="00AA26A6" w:rsidRPr="005732A3" w:rsidRDefault="00AA26A6" w:rsidP="005732A3">
      <w:pPr>
        <w:pStyle w:val="ListParagraph"/>
        <w:spacing w:after="160" w:line="259" w:lineRule="auto"/>
        <w:ind w:left="360"/>
        <w:jc w:val="both"/>
        <w:rPr>
          <w:rFonts w:ascii="Arial" w:hAnsi="Arial" w:cs="Arial"/>
          <w:lang w:val="es-ES"/>
        </w:rPr>
      </w:pPr>
    </w:p>
    <w:p w14:paraId="38D9970F" w14:textId="18C7420B" w:rsidR="00AA26A6" w:rsidRPr="005732A3" w:rsidRDefault="00421DD6" w:rsidP="005732A3">
      <w:pPr>
        <w:pStyle w:val="ListParagraph"/>
        <w:numPr>
          <w:ilvl w:val="0"/>
          <w:numId w:val="1"/>
        </w:numPr>
        <w:jc w:val="both"/>
        <w:rPr>
          <w:rFonts w:ascii="Arial" w:hAnsi="Arial" w:cs="Arial"/>
          <w:lang w:val="es-ES"/>
        </w:rPr>
      </w:pPr>
      <w:r w:rsidRPr="005732A3">
        <w:rPr>
          <w:rFonts w:ascii="Arial" w:hAnsi="Arial" w:cs="Arial"/>
          <w:lang w:val="es-ES"/>
        </w:rPr>
        <w:lastRenderedPageBreak/>
        <w:t>L</w:t>
      </w:r>
      <w:r w:rsidR="00E75A1F" w:rsidRPr="005732A3">
        <w:rPr>
          <w:rFonts w:ascii="Arial" w:hAnsi="Arial" w:cs="Arial"/>
          <w:lang w:val="es-ES"/>
        </w:rPr>
        <w:t xml:space="preserve">os auditores de </w:t>
      </w:r>
      <w:r w:rsidR="007409AF" w:rsidRPr="005732A3">
        <w:rPr>
          <w:rFonts w:ascii="Arial" w:hAnsi="Arial" w:cs="Arial"/>
          <w:lang w:val="es-ES"/>
        </w:rPr>
        <w:t xml:space="preserve">la </w:t>
      </w:r>
      <w:bookmarkStart w:id="0" w:name="_Hlk80702091"/>
      <w:r w:rsidR="0041208D" w:rsidRPr="005732A3">
        <w:rPr>
          <w:rFonts w:ascii="Arial" w:hAnsi="Arial" w:cs="Arial"/>
          <w:lang w:val="es-ES"/>
        </w:rPr>
        <w:t>función</w:t>
      </w:r>
      <w:r w:rsidR="007B381B" w:rsidRPr="005732A3">
        <w:rPr>
          <w:rFonts w:ascii="Arial" w:hAnsi="Arial" w:cs="Arial"/>
          <w:lang w:val="es-ES"/>
        </w:rPr>
        <w:t xml:space="preserve"> de auditoría interna</w:t>
      </w:r>
      <w:bookmarkEnd w:id="0"/>
      <w:r w:rsidR="00E75A1F" w:rsidRPr="005732A3">
        <w:rPr>
          <w:rFonts w:ascii="Arial" w:hAnsi="Arial" w:cs="Arial"/>
          <w:lang w:val="es-ES"/>
        </w:rPr>
        <w:t xml:space="preserve">, conforme a la priorización determinada por el Jefe de </w:t>
      </w:r>
      <w:r w:rsidR="007409AF" w:rsidRPr="005732A3">
        <w:rPr>
          <w:rFonts w:ascii="Arial" w:hAnsi="Arial" w:cs="Arial"/>
          <w:lang w:val="es-ES"/>
        </w:rPr>
        <w:t>Auditoría</w:t>
      </w:r>
      <w:r w:rsidR="00E75A1F" w:rsidRPr="005732A3">
        <w:rPr>
          <w:rFonts w:ascii="Arial" w:hAnsi="Arial" w:cs="Arial"/>
          <w:lang w:val="es-ES"/>
        </w:rPr>
        <w:t xml:space="preserve"> y sujeto a la disponibilidad de recursos </w:t>
      </w:r>
      <w:r w:rsidR="008F4E49" w:rsidRPr="005732A3">
        <w:rPr>
          <w:rFonts w:ascii="Arial" w:hAnsi="Arial" w:cs="Arial"/>
          <w:lang w:val="es-ES"/>
        </w:rPr>
        <w:t>financieros y humanos</w:t>
      </w:r>
      <w:r w:rsidR="00E75A1F" w:rsidRPr="005732A3">
        <w:rPr>
          <w:rFonts w:ascii="Arial" w:hAnsi="Arial" w:cs="Arial"/>
          <w:lang w:val="es-ES"/>
        </w:rPr>
        <w:t>, enfrentarán los trabajos de aseguramiento</w:t>
      </w:r>
      <w:r w:rsidR="00AA26A6" w:rsidRPr="005732A3">
        <w:rPr>
          <w:rFonts w:ascii="Arial" w:hAnsi="Arial" w:cs="Arial"/>
          <w:lang w:val="es-ES"/>
        </w:rPr>
        <w:t xml:space="preserve"> y consultoría</w:t>
      </w:r>
      <w:r w:rsidR="00E75A1F" w:rsidRPr="005732A3">
        <w:rPr>
          <w:rFonts w:ascii="Arial" w:hAnsi="Arial" w:cs="Arial"/>
          <w:lang w:val="es-ES"/>
        </w:rPr>
        <w:t xml:space="preserve"> bajo la modalidad de trabajo en equipo, y bajo la dirección de un supervisor que ejercerá el monitoreo del trabajo y el desempeño de</w:t>
      </w:r>
      <w:r w:rsidR="007B381B" w:rsidRPr="005732A3">
        <w:rPr>
          <w:rFonts w:ascii="Arial" w:hAnsi="Arial" w:cs="Arial"/>
          <w:lang w:val="es-ES"/>
        </w:rPr>
        <w:t>l equipo de</w:t>
      </w:r>
      <w:r w:rsidR="00E75A1F" w:rsidRPr="005732A3">
        <w:rPr>
          <w:rFonts w:ascii="Arial" w:hAnsi="Arial" w:cs="Arial"/>
          <w:lang w:val="es-ES"/>
        </w:rPr>
        <w:t xml:space="preserve"> auditores</w:t>
      </w:r>
      <w:r w:rsidR="007B381B" w:rsidRPr="005732A3">
        <w:rPr>
          <w:rFonts w:ascii="Arial" w:hAnsi="Arial" w:cs="Arial"/>
          <w:lang w:val="es-ES"/>
        </w:rPr>
        <w:t xml:space="preserve"> internos</w:t>
      </w:r>
      <w:r w:rsidR="00E75A1F" w:rsidRPr="005732A3">
        <w:rPr>
          <w:rFonts w:ascii="Arial" w:hAnsi="Arial" w:cs="Arial"/>
          <w:lang w:val="es-ES"/>
        </w:rPr>
        <w:t>, generando corroboración de evaluaciones, juicios y decisiones de otros. De esta supervisión debe quedar constancia y registro.</w:t>
      </w:r>
      <w:r w:rsidR="00AA26A6" w:rsidRPr="005732A3">
        <w:rPr>
          <w:rFonts w:ascii="Arial" w:hAnsi="Arial" w:cs="Arial"/>
          <w:lang w:val="es-ES"/>
        </w:rPr>
        <w:t xml:space="preserve"> Ver Procedimiento de Supervisión Continua.</w:t>
      </w:r>
    </w:p>
    <w:p w14:paraId="4B3CB961" w14:textId="77777777" w:rsidR="00AA26A6" w:rsidRPr="005732A3" w:rsidRDefault="00AA26A6" w:rsidP="005732A3">
      <w:pPr>
        <w:pStyle w:val="ListParagraph"/>
        <w:jc w:val="both"/>
        <w:rPr>
          <w:rFonts w:ascii="Arial" w:hAnsi="Arial" w:cs="Arial"/>
          <w:lang w:val="es-ES"/>
        </w:rPr>
      </w:pPr>
    </w:p>
    <w:p w14:paraId="7466DF45" w14:textId="21582780" w:rsidR="00E75A1F" w:rsidRPr="005732A3" w:rsidRDefault="00421DD6" w:rsidP="005732A3">
      <w:pPr>
        <w:pStyle w:val="ListParagraph"/>
        <w:numPr>
          <w:ilvl w:val="0"/>
          <w:numId w:val="1"/>
        </w:numPr>
        <w:spacing w:after="160" w:line="259" w:lineRule="auto"/>
        <w:jc w:val="both"/>
        <w:rPr>
          <w:rFonts w:ascii="Arial" w:hAnsi="Arial" w:cs="Arial"/>
          <w:lang w:val="es-ES"/>
        </w:rPr>
      </w:pPr>
      <w:r w:rsidRPr="005732A3">
        <w:rPr>
          <w:rFonts w:ascii="Arial" w:hAnsi="Arial" w:cs="Arial"/>
          <w:lang w:val="es-ES"/>
        </w:rPr>
        <w:t>S</w:t>
      </w:r>
      <w:r w:rsidR="00E75A1F" w:rsidRPr="005732A3">
        <w:rPr>
          <w:rFonts w:ascii="Arial" w:hAnsi="Arial" w:cs="Arial"/>
          <w:lang w:val="es-ES"/>
        </w:rPr>
        <w:t xml:space="preserve">ujeto a la disponibilidad de recursos, </w:t>
      </w:r>
      <w:r w:rsidR="007409AF" w:rsidRPr="005732A3">
        <w:rPr>
          <w:rFonts w:ascii="Arial" w:hAnsi="Arial" w:cs="Arial"/>
          <w:lang w:val="es-ES"/>
        </w:rPr>
        <w:t xml:space="preserve">en </w:t>
      </w:r>
      <w:r w:rsidR="00E75A1F" w:rsidRPr="005732A3">
        <w:rPr>
          <w:rFonts w:ascii="Arial" w:hAnsi="Arial" w:cs="Arial"/>
          <w:lang w:val="es-ES"/>
        </w:rPr>
        <w:t xml:space="preserve">cada plan </w:t>
      </w:r>
      <w:r w:rsidR="002D3C5B" w:rsidRPr="005732A3">
        <w:rPr>
          <w:rFonts w:ascii="Arial" w:hAnsi="Arial" w:cs="Arial"/>
          <w:lang w:val="es-ES"/>
        </w:rPr>
        <w:t xml:space="preserve">anual </w:t>
      </w:r>
      <w:r w:rsidR="00E75A1F" w:rsidRPr="005732A3">
        <w:rPr>
          <w:rFonts w:ascii="Arial" w:hAnsi="Arial" w:cs="Arial"/>
          <w:lang w:val="es-ES"/>
        </w:rPr>
        <w:t xml:space="preserve">de generación de competencias que se proponga se incluirá al menos </w:t>
      </w:r>
      <w:proofErr w:type="spellStart"/>
      <w:r w:rsidR="007B381B" w:rsidRPr="005732A3">
        <w:rPr>
          <w:rFonts w:ascii="Arial" w:hAnsi="Arial" w:cs="Arial"/>
          <w:lang w:val="es-ES"/>
        </w:rPr>
        <w:t>xx</w:t>
      </w:r>
      <w:proofErr w:type="spellEnd"/>
      <w:r w:rsidR="007B381B" w:rsidRPr="005732A3">
        <w:rPr>
          <w:rFonts w:ascii="Arial" w:hAnsi="Arial" w:cs="Arial"/>
          <w:lang w:val="es-ES"/>
        </w:rPr>
        <w:t xml:space="preserve"> </w:t>
      </w:r>
      <w:r w:rsidR="00E75A1F" w:rsidRPr="005732A3">
        <w:rPr>
          <w:rFonts w:ascii="Arial" w:hAnsi="Arial" w:cs="Arial"/>
          <w:lang w:val="es-ES"/>
        </w:rPr>
        <w:t xml:space="preserve">horas de capacitación en materias de objetividad, pudiendo realizarse, </w:t>
      </w:r>
      <w:r w:rsidR="007B381B" w:rsidRPr="005732A3">
        <w:rPr>
          <w:rFonts w:ascii="Arial" w:hAnsi="Arial" w:cs="Arial"/>
          <w:lang w:val="es-ES"/>
        </w:rPr>
        <w:t xml:space="preserve">ya </w:t>
      </w:r>
      <w:r w:rsidR="00E75A1F" w:rsidRPr="005732A3">
        <w:rPr>
          <w:rFonts w:ascii="Arial" w:hAnsi="Arial" w:cs="Arial"/>
          <w:lang w:val="es-ES"/>
        </w:rPr>
        <w:t xml:space="preserve">sea mediante cursos impartidos por instructores de </w:t>
      </w:r>
      <w:r w:rsidR="007409AF" w:rsidRPr="005732A3">
        <w:rPr>
          <w:rFonts w:ascii="Arial" w:hAnsi="Arial" w:cs="Arial"/>
          <w:lang w:val="es-ES"/>
        </w:rPr>
        <w:t>la</w:t>
      </w:r>
      <w:r w:rsidR="007B381B" w:rsidRPr="005732A3">
        <w:rPr>
          <w:rFonts w:ascii="Arial" w:hAnsi="Arial" w:cs="Arial"/>
          <w:lang w:val="es-ES"/>
        </w:rPr>
        <w:t xml:space="preserve"> propia</w:t>
      </w:r>
      <w:r w:rsidR="007409AF" w:rsidRPr="005732A3">
        <w:rPr>
          <w:rFonts w:ascii="Arial" w:hAnsi="Arial" w:cs="Arial"/>
          <w:lang w:val="es-ES"/>
        </w:rPr>
        <w:t xml:space="preserve"> </w:t>
      </w:r>
      <w:r w:rsidR="0041208D" w:rsidRPr="005732A3">
        <w:rPr>
          <w:rFonts w:ascii="Arial" w:hAnsi="Arial" w:cs="Arial"/>
          <w:lang w:val="es-ES"/>
        </w:rPr>
        <w:t>función</w:t>
      </w:r>
      <w:r w:rsidR="007B381B" w:rsidRPr="005732A3">
        <w:rPr>
          <w:rFonts w:ascii="Arial" w:hAnsi="Arial" w:cs="Arial"/>
          <w:lang w:val="es-ES"/>
        </w:rPr>
        <w:t xml:space="preserve"> de auditoría interna </w:t>
      </w:r>
      <w:r w:rsidR="00E75A1F" w:rsidRPr="005732A3">
        <w:rPr>
          <w:rFonts w:ascii="Arial" w:hAnsi="Arial" w:cs="Arial"/>
          <w:lang w:val="es-ES"/>
        </w:rPr>
        <w:t>o mediante instructores externos.</w:t>
      </w:r>
    </w:p>
    <w:p w14:paraId="0647781A" w14:textId="77777777" w:rsidR="00AA26A6" w:rsidRPr="005732A3" w:rsidRDefault="00AA26A6" w:rsidP="005732A3">
      <w:pPr>
        <w:pStyle w:val="ListParagraph"/>
        <w:rPr>
          <w:rFonts w:ascii="Arial" w:hAnsi="Arial" w:cs="Arial"/>
          <w:lang w:val="es-ES"/>
        </w:rPr>
      </w:pPr>
    </w:p>
    <w:p w14:paraId="2B4D370C" w14:textId="137F9BA6" w:rsidR="00AA26A6" w:rsidRPr="005732A3" w:rsidRDefault="002D3C5B" w:rsidP="005732A3">
      <w:pPr>
        <w:pStyle w:val="ListParagraph"/>
        <w:numPr>
          <w:ilvl w:val="0"/>
          <w:numId w:val="1"/>
        </w:numPr>
        <w:jc w:val="both"/>
        <w:rPr>
          <w:rFonts w:ascii="Arial" w:hAnsi="Arial" w:cs="Arial"/>
          <w:b/>
          <w:bCs/>
          <w:lang w:val="es-ES"/>
        </w:rPr>
      </w:pPr>
      <w:r w:rsidRPr="005732A3">
        <w:rPr>
          <w:rFonts w:ascii="Arial" w:hAnsi="Arial" w:cs="Arial"/>
          <w:lang w:val="es-ES"/>
        </w:rPr>
        <w:t>L</w:t>
      </w:r>
      <w:r w:rsidR="007409AF" w:rsidRPr="005732A3">
        <w:rPr>
          <w:rFonts w:ascii="Arial" w:hAnsi="Arial" w:cs="Arial"/>
          <w:lang w:val="es-ES"/>
        </w:rPr>
        <w:t xml:space="preserve">os resultados </w:t>
      </w:r>
      <w:r w:rsidR="00E75A1F" w:rsidRPr="005732A3">
        <w:rPr>
          <w:rFonts w:ascii="Arial" w:hAnsi="Arial" w:cs="Arial"/>
          <w:lang w:val="es-ES"/>
        </w:rPr>
        <w:t xml:space="preserve">de la labor de auditoría </w:t>
      </w:r>
      <w:r w:rsidR="008F4E49" w:rsidRPr="005732A3">
        <w:rPr>
          <w:rFonts w:ascii="Arial" w:hAnsi="Arial" w:cs="Arial"/>
          <w:lang w:val="es-ES"/>
        </w:rPr>
        <w:t>interna</w:t>
      </w:r>
      <w:r w:rsidR="00E75A1F" w:rsidRPr="005732A3">
        <w:rPr>
          <w:rFonts w:ascii="Arial" w:hAnsi="Arial" w:cs="Arial"/>
          <w:lang w:val="es-ES"/>
        </w:rPr>
        <w:t xml:space="preserve"> se revisarán </w:t>
      </w:r>
      <w:r w:rsidRPr="005732A3">
        <w:rPr>
          <w:rFonts w:ascii="Arial" w:hAnsi="Arial" w:cs="Arial"/>
          <w:lang w:val="es-ES"/>
        </w:rPr>
        <w:t xml:space="preserve">por los supervisores </w:t>
      </w:r>
      <w:r w:rsidR="00E75A1F" w:rsidRPr="005732A3">
        <w:rPr>
          <w:rFonts w:ascii="Arial" w:hAnsi="Arial" w:cs="Arial"/>
          <w:lang w:val="es-ES"/>
        </w:rPr>
        <w:t xml:space="preserve">antes de emitir las comunicaciones </w:t>
      </w:r>
      <w:r w:rsidRPr="005732A3">
        <w:rPr>
          <w:rFonts w:ascii="Arial" w:hAnsi="Arial" w:cs="Arial"/>
          <w:lang w:val="es-ES"/>
        </w:rPr>
        <w:t>de</w:t>
      </w:r>
      <w:r w:rsidR="00E75A1F" w:rsidRPr="005732A3">
        <w:rPr>
          <w:rFonts w:ascii="Arial" w:hAnsi="Arial" w:cs="Arial"/>
          <w:lang w:val="es-ES"/>
        </w:rPr>
        <w:t xml:space="preserve"> trabajo</w:t>
      </w:r>
      <w:r w:rsidRPr="005732A3">
        <w:rPr>
          <w:rFonts w:ascii="Arial" w:hAnsi="Arial" w:cs="Arial"/>
          <w:lang w:val="es-ES"/>
        </w:rPr>
        <w:t xml:space="preserve"> correspondientes</w:t>
      </w:r>
      <w:r w:rsidR="00E75A1F" w:rsidRPr="005732A3">
        <w:rPr>
          <w:rFonts w:ascii="Arial" w:hAnsi="Arial" w:cs="Arial"/>
          <w:lang w:val="es-ES"/>
        </w:rPr>
        <w:t>, para asegurar razonablemente que este se ha efectuado de manera objetiva. Esta revisión se debe documentar y registrar</w:t>
      </w:r>
      <w:r w:rsidR="007409AF" w:rsidRPr="005732A3">
        <w:rPr>
          <w:rFonts w:ascii="Arial" w:hAnsi="Arial" w:cs="Arial"/>
          <w:lang w:val="es-ES"/>
        </w:rPr>
        <w:t xml:space="preserve"> en los papeles de trabajo respectivos</w:t>
      </w:r>
      <w:r w:rsidR="00E75A1F" w:rsidRPr="005732A3">
        <w:rPr>
          <w:rFonts w:ascii="Arial" w:hAnsi="Arial" w:cs="Arial"/>
          <w:lang w:val="es-ES"/>
        </w:rPr>
        <w:t>.</w:t>
      </w:r>
      <w:r w:rsidR="00AA26A6" w:rsidRPr="005732A3">
        <w:rPr>
          <w:rFonts w:ascii="Arial" w:hAnsi="Arial" w:cs="Arial"/>
          <w:lang w:val="es-ES"/>
        </w:rPr>
        <w:t xml:space="preserve"> Ver Procedimiento de Supervisión Continua.</w:t>
      </w:r>
    </w:p>
    <w:p w14:paraId="1978B3C3" w14:textId="77777777" w:rsidR="0025792C" w:rsidRPr="005732A3" w:rsidRDefault="0025792C" w:rsidP="005732A3">
      <w:pPr>
        <w:pStyle w:val="ListParagraph"/>
        <w:rPr>
          <w:rFonts w:ascii="Arial" w:hAnsi="Arial" w:cs="Arial"/>
          <w:b/>
          <w:bCs/>
          <w:lang w:val="es-ES"/>
        </w:rPr>
      </w:pPr>
    </w:p>
    <w:p w14:paraId="0404FF2B" w14:textId="116510A5" w:rsidR="00932E4B" w:rsidRPr="005732A3" w:rsidRDefault="00932E4B" w:rsidP="005732A3">
      <w:pPr>
        <w:pStyle w:val="ListParagraph"/>
        <w:numPr>
          <w:ilvl w:val="0"/>
          <w:numId w:val="1"/>
        </w:numPr>
        <w:jc w:val="both"/>
        <w:rPr>
          <w:rFonts w:ascii="Arial" w:hAnsi="Arial" w:cs="Arial"/>
          <w:lang w:val="es-ES"/>
        </w:rPr>
      </w:pPr>
      <w:r w:rsidRPr="005732A3">
        <w:rPr>
          <w:rFonts w:ascii="Arial" w:hAnsi="Arial" w:cs="Arial"/>
          <w:lang w:val="es-ES"/>
        </w:rPr>
        <w:t xml:space="preserve">El </w:t>
      </w:r>
      <w:r w:rsidR="0025792C" w:rsidRPr="005732A3">
        <w:rPr>
          <w:rFonts w:ascii="Arial" w:hAnsi="Arial" w:cs="Arial"/>
          <w:lang w:val="es-ES"/>
        </w:rPr>
        <w:t>Jefe</w:t>
      </w:r>
      <w:r w:rsidRPr="005732A3">
        <w:rPr>
          <w:rFonts w:ascii="Arial" w:hAnsi="Arial" w:cs="Arial"/>
          <w:lang w:val="es-ES"/>
        </w:rPr>
        <w:t xml:space="preserve"> de Auditoría supervisará la implementación de metodologías para gestionar las amenazas a la objetividad, incluyendo la evaluación continua de posibles conflictos de interés.</w:t>
      </w:r>
    </w:p>
    <w:p w14:paraId="2CD85488" w14:textId="77777777" w:rsidR="00A84A9C" w:rsidRPr="005732A3" w:rsidRDefault="00A84A9C" w:rsidP="005732A3">
      <w:pPr>
        <w:pStyle w:val="ListParagraph"/>
        <w:rPr>
          <w:rFonts w:ascii="Arial" w:hAnsi="Arial" w:cs="Arial"/>
          <w:lang w:val="es-ES"/>
        </w:rPr>
      </w:pPr>
    </w:p>
    <w:p w14:paraId="4EBDD788" w14:textId="77777777" w:rsidR="00932E4B" w:rsidRPr="005732A3" w:rsidRDefault="00932E4B" w:rsidP="005732A3">
      <w:pPr>
        <w:pStyle w:val="ListParagraph"/>
        <w:numPr>
          <w:ilvl w:val="0"/>
          <w:numId w:val="1"/>
        </w:numPr>
        <w:rPr>
          <w:rFonts w:ascii="Arial" w:hAnsi="Arial" w:cs="Arial"/>
          <w:b/>
          <w:bCs/>
          <w:lang w:val="es-ES"/>
        </w:rPr>
      </w:pPr>
      <w:r w:rsidRPr="005732A3">
        <w:rPr>
          <w:rFonts w:ascii="Arial" w:hAnsi="Arial" w:cs="Arial"/>
          <w:b/>
          <w:bCs/>
          <w:lang w:val="es-ES"/>
        </w:rPr>
        <w:t>Declaración de Impedimentos</w:t>
      </w:r>
    </w:p>
    <w:p w14:paraId="6FC4F4D0" w14:textId="77777777" w:rsidR="00A84A9C" w:rsidRPr="005732A3" w:rsidRDefault="00A84A9C" w:rsidP="005732A3">
      <w:pPr>
        <w:pStyle w:val="ListParagraph"/>
        <w:ind w:left="360"/>
        <w:rPr>
          <w:rFonts w:ascii="Arial" w:hAnsi="Arial" w:cs="Arial"/>
          <w:b/>
          <w:bCs/>
          <w:lang w:val="es-ES"/>
        </w:rPr>
      </w:pPr>
    </w:p>
    <w:p w14:paraId="49E152FB" w14:textId="77777777" w:rsidR="00932E4B" w:rsidRPr="005732A3" w:rsidRDefault="00932E4B" w:rsidP="005732A3">
      <w:pPr>
        <w:pStyle w:val="ListParagraph"/>
        <w:numPr>
          <w:ilvl w:val="0"/>
          <w:numId w:val="3"/>
        </w:numPr>
        <w:jc w:val="both"/>
        <w:rPr>
          <w:rFonts w:ascii="Arial" w:hAnsi="Arial" w:cs="Arial"/>
          <w:lang w:val="es-ES"/>
        </w:rPr>
      </w:pPr>
      <w:r w:rsidRPr="005732A3">
        <w:rPr>
          <w:rFonts w:ascii="Arial" w:hAnsi="Arial" w:cs="Arial"/>
          <w:lang w:val="es-ES"/>
        </w:rPr>
        <w:t>Todo auditor interno deberá declarar de manera inmediata cualquier impedimento real, potencial o percibido que pueda afectar su objetividad, ya sea al inicio de su incorporación, anualmente o antes de aceptar un trabajo específico.</w:t>
      </w:r>
    </w:p>
    <w:p w14:paraId="643935DB" w14:textId="29B8B34C" w:rsidR="00932E4B" w:rsidRPr="005732A3" w:rsidRDefault="00932E4B" w:rsidP="005732A3">
      <w:pPr>
        <w:pStyle w:val="ListParagraph"/>
        <w:numPr>
          <w:ilvl w:val="0"/>
          <w:numId w:val="3"/>
        </w:numPr>
        <w:jc w:val="both"/>
        <w:rPr>
          <w:rFonts w:ascii="Arial" w:hAnsi="Arial" w:cs="Arial"/>
          <w:lang w:val="es-ES"/>
        </w:rPr>
      </w:pPr>
      <w:r w:rsidRPr="005732A3">
        <w:rPr>
          <w:rFonts w:ascii="Arial" w:hAnsi="Arial" w:cs="Arial"/>
          <w:lang w:val="es-ES"/>
        </w:rPr>
        <w:t xml:space="preserve">En caso de identificarse un impedimento, el </w:t>
      </w:r>
      <w:r w:rsidR="00A84A9C" w:rsidRPr="005732A3">
        <w:rPr>
          <w:rFonts w:ascii="Arial" w:hAnsi="Arial" w:cs="Arial"/>
          <w:lang w:val="es-ES"/>
        </w:rPr>
        <w:t>Jefe</w:t>
      </w:r>
      <w:r w:rsidRPr="005732A3">
        <w:rPr>
          <w:rFonts w:ascii="Arial" w:hAnsi="Arial" w:cs="Arial"/>
          <w:lang w:val="es-ES"/>
        </w:rPr>
        <w:t xml:space="preserve"> de Auditoría deberá evaluar su impacto y comunicarlo oportunamente </w:t>
      </w:r>
      <w:r w:rsidR="00A84A9C" w:rsidRPr="005732A3">
        <w:rPr>
          <w:rFonts w:ascii="Arial" w:hAnsi="Arial" w:cs="Arial"/>
          <w:lang w:val="es-ES"/>
        </w:rPr>
        <w:t>al Jefe de Servicio</w:t>
      </w:r>
      <w:r w:rsidRPr="005732A3">
        <w:rPr>
          <w:rFonts w:ascii="Arial" w:hAnsi="Arial" w:cs="Arial"/>
          <w:lang w:val="es-ES"/>
        </w:rPr>
        <w:t xml:space="preserve"> u otras partes interesadas relevantes, junto con las medidas correctivas adoptadas.</w:t>
      </w:r>
    </w:p>
    <w:p w14:paraId="01D40820" w14:textId="06A4E1B8" w:rsidR="00932E4B" w:rsidRPr="005732A3" w:rsidRDefault="00932E4B" w:rsidP="005732A3">
      <w:pPr>
        <w:pStyle w:val="ListParagraph"/>
        <w:numPr>
          <w:ilvl w:val="0"/>
          <w:numId w:val="3"/>
        </w:numPr>
        <w:jc w:val="both"/>
        <w:rPr>
          <w:rFonts w:ascii="Arial" w:hAnsi="Arial" w:cs="Arial"/>
          <w:lang w:val="es-ES"/>
        </w:rPr>
      </w:pPr>
      <w:r w:rsidRPr="005732A3">
        <w:rPr>
          <w:rFonts w:ascii="Arial" w:hAnsi="Arial" w:cs="Arial"/>
          <w:lang w:val="es-ES"/>
        </w:rPr>
        <w:t xml:space="preserve">El </w:t>
      </w:r>
      <w:r w:rsidR="00A84A9C" w:rsidRPr="005732A3">
        <w:rPr>
          <w:rFonts w:ascii="Arial" w:hAnsi="Arial" w:cs="Arial"/>
          <w:lang w:val="es-ES"/>
        </w:rPr>
        <w:t xml:space="preserve">Jefe de Auditoría </w:t>
      </w:r>
      <w:r w:rsidRPr="005732A3">
        <w:rPr>
          <w:rFonts w:ascii="Arial" w:hAnsi="Arial" w:cs="Arial"/>
          <w:lang w:val="es-ES"/>
        </w:rPr>
        <w:t xml:space="preserve">también está obligado a declarar cualquier impedimento personal que pueda afectar su objetividad al </w:t>
      </w:r>
      <w:r w:rsidR="00A84A9C" w:rsidRPr="005732A3">
        <w:rPr>
          <w:rFonts w:ascii="Arial" w:hAnsi="Arial" w:cs="Arial"/>
          <w:lang w:val="es-ES"/>
        </w:rPr>
        <w:t>Jefe de Servicio</w:t>
      </w:r>
      <w:r w:rsidR="00C61275" w:rsidRPr="005732A3">
        <w:rPr>
          <w:rFonts w:ascii="Arial" w:hAnsi="Arial" w:cs="Arial"/>
          <w:lang w:val="es-ES"/>
        </w:rPr>
        <w:t>.</w:t>
      </w:r>
    </w:p>
    <w:p w14:paraId="44EC643C" w14:textId="77777777" w:rsidR="00C61275" w:rsidRPr="005732A3" w:rsidRDefault="00C61275" w:rsidP="005732A3">
      <w:pPr>
        <w:pStyle w:val="ListParagraph"/>
        <w:jc w:val="both"/>
        <w:rPr>
          <w:rFonts w:ascii="Arial" w:hAnsi="Arial" w:cs="Arial"/>
          <w:lang w:val="es-ES"/>
        </w:rPr>
      </w:pPr>
    </w:p>
    <w:p w14:paraId="3E4866E0" w14:textId="77777777" w:rsidR="00932E4B" w:rsidRPr="005732A3" w:rsidRDefault="00932E4B" w:rsidP="005732A3">
      <w:pPr>
        <w:pStyle w:val="ListParagraph"/>
        <w:numPr>
          <w:ilvl w:val="0"/>
          <w:numId w:val="4"/>
        </w:numPr>
        <w:ind w:left="426"/>
        <w:rPr>
          <w:rFonts w:ascii="Arial" w:hAnsi="Arial" w:cs="Arial"/>
          <w:b/>
          <w:bCs/>
          <w:lang w:val="es-ES"/>
        </w:rPr>
      </w:pPr>
      <w:r w:rsidRPr="005732A3">
        <w:rPr>
          <w:rFonts w:ascii="Arial" w:hAnsi="Arial" w:cs="Arial"/>
          <w:b/>
          <w:bCs/>
          <w:lang w:val="es-ES"/>
        </w:rPr>
        <w:t>Uso y Recepción de Obsequios o Favores</w:t>
      </w:r>
    </w:p>
    <w:p w14:paraId="5DB8F3B0" w14:textId="77777777" w:rsidR="00C61275" w:rsidRPr="005732A3" w:rsidRDefault="00C61275" w:rsidP="005732A3">
      <w:pPr>
        <w:pStyle w:val="ListParagraph"/>
        <w:ind w:left="426"/>
        <w:rPr>
          <w:rFonts w:ascii="Arial" w:hAnsi="Arial" w:cs="Arial"/>
          <w:b/>
          <w:bCs/>
          <w:lang w:val="es-ES"/>
        </w:rPr>
      </w:pPr>
    </w:p>
    <w:p w14:paraId="545E8B9E" w14:textId="77777777" w:rsidR="00932E4B" w:rsidRPr="005732A3" w:rsidRDefault="00932E4B" w:rsidP="005732A3">
      <w:pPr>
        <w:pStyle w:val="ListParagraph"/>
        <w:numPr>
          <w:ilvl w:val="0"/>
          <w:numId w:val="5"/>
        </w:numPr>
        <w:jc w:val="both"/>
        <w:rPr>
          <w:rFonts w:ascii="Arial" w:hAnsi="Arial" w:cs="Arial"/>
          <w:lang w:val="es-ES"/>
        </w:rPr>
      </w:pPr>
      <w:r w:rsidRPr="005732A3">
        <w:rPr>
          <w:rFonts w:ascii="Arial" w:hAnsi="Arial" w:cs="Arial"/>
          <w:lang w:val="es-ES"/>
        </w:rPr>
        <w:t>Los auditores internos no deben aceptar ningún objeto tangible o intangible que pueda interpretarse como un impedimento para la objetividad o que pueda influir en sus decisiones profesionales.</w:t>
      </w:r>
    </w:p>
    <w:p w14:paraId="48501F4F" w14:textId="77777777" w:rsidR="00C61275" w:rsidRPr="005732A3" w:rsidRDefault="00C61275" w:rsidP="005732A3">
      <w:pPr>
        <w:pStyle w:val="ListParagraph"/>
        <w:rPr>
          <w:rFonts w:ascii="Arial" w:hAnsi="Arial" w:cs="Arial"/>
          <w:lang w:val="es-ES"/>
        </w:rPr>
      </w:pPr>
    </w:p>
    <w:p w14:paraId="4A1F16DF" w14:textId="77777777" w:rsidR="00932E4B" w:rsidRPr="005732A3" w:rsidRDefault="00932E4B" w:rsidP="005732A3">
      <w:pPr>
        <w:pStyle w:val="ListParagraph"/>
        <w:numPr>
          <w:ilvl w:val="0"/>
          <w:numId w:val="4"/>
        </w:numPr>
        <w:ind w:left="426"/>
        <w:rPr>
          <w:rFonts w:ascii="Arial" w:hAnsi="Arial" w:cs="Arial"/>
          <w:b/>
          <w:bCs/>
          <w:lang w:val="es-ES"/>
        </w:rPr>
      </w:pPr>
      <w:r w:rsidRPr="005732A3">
        <w:rPr>
          <w:rFonts w:ascii="Arial" w:hAnsi="Arial" w:cs="Arial"/>
          <w:b/>
          <w:bCs/>
          <w:lang w:val="es-ES"/>
        </w:rPr>
        <w:t>Capacitación y Sensibilización</w:t>
      </w:r>
    </w:p>
    <w:p w14:paraId="695E4F7E" w14:textId="77777777" w:rsidR="00932E4B" w:rsidRPr="005732A3" w:rsidRDefault="00932E4B" w:rsidP="005732A3">
      <w:pPr>
        <w:jc w:val="both"/>
        <w:rPr>
          <w:rFonts w:ascii="Arial" w:hAnsi="Arial" w:cs="Arial"/>
          <w:lang w:val="es-ES"/>
        </w:rPr>
      </w:pPr>
      <w:r w:rsidRPr="005732A3">
        <w:rPr>
          <w:rFonts w:ascii="Arial" w:hAnsi="Arial" w:cs="Arial"/>
          <w:lang w:val="es-ES"/>
        </w:rPr>
        <w:t>La función de auditoría interna incluirá en sus programas de capacitación anual temas específicos relacionados con la objetividad, como la gestión de conflictos de interés, la identificación de sesgos y la ética profesional.</w:t>
      </w:r>
    </w:p>
    <w:p w14:paraId="6EEE5234" w14:textId="6D843873" w:rsidR="00E75A1F" w:rsidRPr="005732A3" w:rsidRDefault="002E68B9" w:rsidP="005732A3">
      <w:pPr>
        <w:pStyle w:val="ListParagraph"/>
        <w:numPr>
          <w:ilvl w:val="0"/>
          <w:numId w:val="4"/>
        </w:numPr>
        <w:ind w:left="426"/>
        <w:jc w:val="both"/>
        <w:rPr>
          <w:rFonts w:ascii="Arial" w:hAnsi="Arial" w:cs="Arial"/>
          <w:b/>
          <w:lang w:val="es-ES"/>
        </w:rPr>
      </w:pPr>
      <w:r w:rsidRPr="005732A3">
        <w:rPr>
          <w:rFonts w:ascii="Arial" w:hAnsi="Arial" w:cs="Arial"/>
          <w:b/>
          <w:lang w:val="es-ES"/>
        </w:rPr>
        <w:t>Documentación</w:t>
      </w:r>
      <w:r w:rsidR="00537CE3" w:rsidRPr="005732A3">
        <w:rPr>
          <w:rFonts w:ascii="Arial" w:hAnsi="Arial" w:cs="Arial"/>
          <w:b/>
          <w:lang w:val="es-ES"/>
        </w:rPr>
        <w:t xml:space="preserve"> </w:t>
      </w:r>
      <w:r w:rsidRPr="005732A3">
        <w:rPr>
          <w:rFonts w:ascii="Arial" w:hAnsi="Arial" w:cs="Arial"/>
          <w:b/>
          <w:lang w:val="es-ES"/>
        </w:rPr>
        <w:t xml:space="preserve">relacionada con </w:t>
      </w:r>
      <w:r w:rsidR="00E75A1F" w:rsidRPr="005732A3">
        <w:rPr>
          <w:rFonts w:ascii="Arial" w:hAnsi="Arial" w:cs="Arial"/>
          <w:b/>
          <w:lang w:val="es-ES"/>
        </w:rPr>
        <w:t>salvaguarda</w:t>
      </w:r>
      <w:r w:rsidR="00C175FC" w:rsidRPr="005732A3">
        <w:rPr>
          <w:rFonts w:ascii="Arial" w:hAnsi="Arial" w:cs="Arial"/>
          <w:b/>
          <w:lang w:val="es-ES"/>
        </w:rPr>
        <w:t>s</w:t>
      </w:r>
    </w:p>
    <w:p w14:paraId="4D912DAC" w14:textId="59D0BB1E" w:rsidR="00E75A1F" w:rsidRPr="005732A3" w:rsidRDefault="00E75A1F" w:rsidP="005732A3">
      <w:pPr>
        <w:jc w:val="both"/>
        <w:rPr>
          <w:rFonts w:ascii="Arial" w:hAnsi="Arial" w:cs="Arial"/>
          <w:lang w:val="es-ES"/>
        </w:rPr>
      </w:pPr>
      <w:r w:rsidRPr="005732A3">
        <w:rPr>
          <w:rFonts w:ascii="Arial" w:hAnsi="Arial" w:cs="Arial"/>
          <w:lang w:val="es-ES"/>
        </w:rPr>
        <w:t xml:space="preserve">En forma adicional, y para evitar otros impedimentos potenciales a la objetividad, sean reales o aparentes, se adoptará </w:t>
      </w:r>
      <w:r w:rsidR="00EC58E4" w:rsidRPr="005732A3">
        <w:rPr>
          <w:rFonts w:ascii="Arial" w:hAnsi="Arial" w:cs="Arial"/>
          <w:lang w:val="es-ES"/>
        </w:rPr>
        <w:t>que a</w:t>
      </w:r>
      <w:r w:rsidRPr="005732A3">
        <w:rPr>
          <w:rFonts w:ascii="Arial" w:hAnsi="Arial" w:cs="Arial"/>
          <w:lang w:val="es-ES"/>
        </w:rPr>
        <w:t xml:space="preserve">l ingresar a </w:t>
      </w:r>
      <w:r w:rsidR="007409AF" w:rsidRPr="005732A3">
        <w:rPr>
          <w:rFonts w:ascii="Arial" w:hAnsi="Arial" w:cs="Arial"/>
          <w:lang w:val="es-ES"/>
        </w:rPr>
        <w:t xml:space="preserve">la </w:t>
      </w:r>
      <w:r w:rsidR="0041208D" w:rsidRPr="005732A3">
        <w:rPr>
          <w:rFonts w:ascii="Arial" w:hAnsi="Arial" w:cs="Arial"/>
          <w:lang w:val="es-ES"/>
        </w:rPr>
        <w:t>función</w:t>
      </w:r>
      <w:r w:rsidR="007B381B" w:rsidRPr="005732A3">
        <w:rPr>
          <w:rFonts w:ascii="Arial" w:hAnsi="Arial" w:cs="Arial"/>
          <w:lang w:val="es-ES"/>
        </w:rPr>
        <w:t xml:space="preserve"> de auditoría interna</w:t>
      </w:r>
      <w:r w:rsidRPr="005732A3">
        <w:rPr>
          <w:rFonts w:ascii="Arial" w:hAnsi="Arial" w:cs="Arial"/>
          <w:lang w:val="es-ES"/>
        </w:rPr>
        <w:t>,</w:t>
      </w:r>
      <w:r w:rsidR="005A41F5" w:rsidRPr="005732A3">
        <w:rPr>
          <w:rFonts w:ascii="Arial" w:hAnsi="Arial" w:cs="Arial"/>
          <w:lang w:val="es-ES"/>
        </w:rPr>
        <w:t xml:space="preserve"> a</w:t>
      </w:r>
      <w:r w:rsidR="00782BA4" w:rsidRPr="005732A3">
        <w:rPr>
          <w:rFonts w:ascii="Arial" w:hAnsi="Arial" w:cs="Arial"/>
          <w:lang w:val="es-ES"/>
        </w:rPr>
        <w:t xml:space="preserve">l Jefe de </w:t>
      </w:r>
      <w:r w:rsidR="005A41F5" w:rsidRPr="005732A3">
        <w:rPr>
          <w:rFonts w:ascii="Arial" w:hAnsi="Arial" w:cs="Arial"/>
          <w:lang w:val="es-ES"/>
        </w:rPr>
        <w:t>Auditoría</w:t>
      </w:r>
      <w:r w:rsidR="00537CE3" w:rsidRPr="005732A3">
        <w:rPr>
          <w:rFonts w:ascii="Arial" w:hAnsi="Arial" w:cs="Arial"/>
          <w:lang w:val="es-ES"/>
        </w:rPr>
        <w:t xml:space="preserve">, </w:t>
      </w:r>
      <w:r w:rsidRPr="005732A3">
        <w:rPr>
          <w:rFonts w:ascii="Arial" w:hAnsi="Arial" w:cs="Arial"/>
          <w:lang w:val="es-ES"/>
        </w:rPr>
        <w:t>a</w:t>
      </w:r>
      <w:r w:rsidR="00537CE3" w:rsidRPr="005732A3">
        <w:rPr>
          <w:rFonts w:ascii="Arial" w:hAnsi="Arial" w:cs="Arial"/>
          <w:lang w:val="es-ES"/>
        </w:rPr>
        <w:t>l</w:t>
      </w:r>
      <w:r w:rsidRPr="005732A3">
        <w:rPr>
          <w:rFonts w:ascii="Arial" w:hAnsi="Arial" w:cs="Arial"/>
          <w:lang w:val="es-ES"/>
        </w:rPr>
        <w:t xml:space="preserve"> </w:t>
      </w:r>
      <w:r w:rsidR="00782BA4" w:rsidRPr="005732A3">
        <w:rPr>
          <w:rFonts w:ascii="Arial" w:hAnsi="Arial" w:cs="Arial"/>
          <w:lang w:val="es-ES"/>
        </w:rPr>
        <w:t xml:space="preserve">supervisor y </w:t>
      </w:r>
      <w:r w:rsidR="00537CE3" w:rsidRPr="005732A3">
        <w:rPr>
          <w:rFonts w:ascii="Arial" w:hAnsi="Arial" w:cs="Arial"/>
          <w:lang w:val="es-ES"/>
        </w:rPr>
        <w:t xml:space="preserve">al </w:t>
      </w:r>
      <w:r w:rsidRPr="005732A3">
        <w:rPr>
          <w:rFonts w:ascii="Arial" w:hAnsi="Arial" w:cs="Arial"/>
          <w:lang w:val="es-ES"/>
        </w:rPr>
        <w:t>auditor</w:t>
      </w:r>
      <w:r w:rsidR="007B381B" w:rsidRPr="005732A3">
        <w:rPr>
          <w:rFonts w:ascii="Arial" w:hAnsi="Arial" w:cs="Arial"/>
          <w:lang w:val="es-ES"/>
        </w:rPr>
        <w:t xml:space="preserve"> interno</w:t>
      </w:r>
      <w:r w:rsidR="00782BA4" w:rsidRPr="005732A3">
        <w:rPr>
          <w:rFonts w:ascii="Arial" w:hAnsi="Arial" w:cs="Arial"/>
          <w:lang w:val="es-ES"/>
        </w:rPr>
        <w:t xml:space="preserve">, </w:t>
      </w:r>
      <w:r w:rsidRPr="005732A3">
        <w:rPr>
          <w:rFonts w:ascii="Arial" w:hAnsi="Arial" w:cs="Arial"/>
          <w:lang w:val="es-ES"/>
        </w:rPr>
        <w:t>se le hará entrega de las políticas y procedimientos de auditoría interna,</w:t>
      </w:r>
      <w:r w:rsidR="00782BA4" w:rsidRPr="005732A3">
        <w:rPr>
          <w:rFonts w:ascii="Arial" w:hAnsi="Arial" w:cs="Arial"/>
          <w:lang w:val="es-ES"/>
        </w:rPr>
        <w:t xml:space="preserve"> en su última versión,</w:t>
      </w:r>
      <w:r w:rsidRPr="005732A3">
        <w:rPr>
          <w:rFonts w:ascii="Arial" w:hAnsi="Arial" w:cs="Arial"/>
          <w:lang w:val="es-ES"/>
        </w:rPr>
        <w:t xml:space="preserve"> </w:t>
      </w:r>
      <w:r w:rsidR="00782BA4" w:rsidRPr="005732A3">
        <w:rPr>
          <w:rFonts w:ascii="Arial" w:hAnsi="Arial" w:cs="Arial"/>
          <w:lang w:val="es-ES"/>
        </w:rPr>
        <w:t>especialmente</w:t>
      </w:r>
      <w:r w:rsidRPr="005732A3">
        <w:rPr>
          <w:rFonts w:ascii="Arial" w:hAnsi="Arial" w:cs="Arial"/>
          <w:lang w:val="es-ES"/>
        </w:rPr>
        <w:t xml:space="preserve">: </w:t>
      </w:r>
    </w:p>
    <w:p w14:paraId="696C4FBC" w14:textId="588303D7" w:rsidR="007B381B" w:rsidRPr="005732A3" w:rsidRDefault="007B381B" w:rsidP="005732A3">
      <w:pPr>
        <w:pStyle w:val="ListParagraph"/>
        <w:numPr>
          <w:ilvl w:val="1"/>
          <w:numId w:val="2"/>
        </w:numPr>
        <w:spacing w:after="160" w:line="259" w:lineRule="auto"/>
        <w:jc w:val="both"/>
        <w:rPr>
          <w:rFonts w:ascii="Arial" w:hAnsi="Arial" w:cs="Arial"/>
          <w:lang w:val="es-ES"/>
        </w:rPr>
      </w:pPr>
      <w:bookmarkStart w:id="1" w:name="_Hlk61531130"/>
      <w:r w:rsidRPr="005732A3">
        <w:rPr>
          <w:rFonts w:ascii="Arial" w:hAnsi="Arial" w:cs="Arial"/>
          <w:lang w:val="es-ES"/>
        </w:rPr>
        <w:t xml:space="preserve">Documentación de la creación de la </w:t>
      </w:r>
      <w:r w:rsidR="0041208D" w:rsidRPr="005732A3">
        <w:rPr>
          <w:rFonts w:ascii="Arial" w:hAnsi="Arial" w:cs="Arial"/>
          <w:lang w:val="es-ES"/>
        </w:rPr>
        <w:t>función</w:t>
      </w:r>
      <w:r w:rsidRPr="005732A3">
        <w:rPr>
          <w:rFonts w:ascii="Arial" w:hAnsi="Arial" w:cs="Arial"/>
          <w:lang w:val="es-ES"/>
        </w:rPr>
        <w:t xml:space="preserve"> de auditoría interna.</w:t>
      </w:r>
    </w:p>
    <w:p w14:paraId="5591F906" w14:textId="20727A5B" w:rsidR="00E75A1F" w:rsidRPr="005732A3" w:rsidRDefault="00E75A1F"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 xml:space="preserve">Estatuto de </w:t>
      </w:r>
      <w:r w:rsidR="00BA016D" w:rsidRPr="005732A3">
        <w:rPr>
          <w:rFonts w:ascii="Arial" w:hAnsi="Arial" w:cs="Arial"/>
          <w:lang w:val="es-ES"/>
        </w:rPr>
        <w:t xml:space="preserve">Auditoría Interna de la </w:t>
      </w:r>
      <w:r w:rsidR="0041208D" w:rsidRPr="005732A3">
        <w:rPr>
          <w:rFonts w:ascii="Arial" w:hAnsi="Arial" w:cs="Arial"/>
          <w:lang w:val="es-ES"/>
        </w:rPr>
        <w:t>función</w:t>
      </w:r>
      <w:r w:rsidR="007B381B" w:rsidRPr="005732A3">
        <w:rPr>
          <w:rFonts w:ascii="Arial" w:hAnsi="Arial" w:cs="Arial"/>
          <w:lang w:val="es-ES"/>
        </w:rPr>
        <w:t xml:space="preserve"> de auditoría interna </w:t>
      </w:r>
      <w:r w:rsidRPr="005732A3">
        <w:rPr>
          <w:rFonts w:ascii="Arial" w:hAnsi="Arial" w:cs="Arial"/>
          <w:lang w:val="es-ES"/>
        </w:rPr>
        <w:t>aprobado</w:t>
      </w:r>
      <w:r w:rsidR="007C6DD0" w:rsidRPr="005732A3">
        <w:rPr>
          <w:rFonts w:ascii="Arial" w:hAnsi="Arial" w:cs="Arial"/>
          <w:lang w:val="es-ES"/>
        </w:rPr>
        <w:t>.</w:t>
      </w:r>
    </w:p>
    <w:p w14:paraId="5C0B3757" w14:textId="6227ED65" w:rsidR="00E75A1F" w:rsidRPr="005732A3" w:rsidRDefault="00E75A1F"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 xml:space="preserve">Plan Estratégico </w:t>
      </w:r>
      <w:r w:rsidR="007B381B" w:rsidRPr="005732A3">
        <w:rPr>
          <w:rFonts w:ascii="Arial" w:hAnsi="Arial" w:cs="Arial"/>
          <w:lang w:val="es-ES"/>
        </w:rPr>
        <w:t xml:space="preserve">de la </w:t>
      </w:r>
      <w:r w:rsidR="0041208D" w:rsidRPr="005732A3">
        <w:rPr>
          <w:rFonts w:ascii="Arial" w:hAnsi="Arial" w:cs="Arial"/>
          <w:lang w:val="es-ES"/>
        </w:rPr>
        <w:t>función</w:t>
      </w:r>
      <w:r w:rsidR="007B381B" w:rsidRPr="005732A3">
        <w:rPr>
          <w:rFonts w:ascii="Arial" w:hAnsi="Arial" w:cs="Arial"/>
          <w:lang w:val="es-ES"/>
        </w:rPr>
        <w:t xml:space="preserve"> de auditoría interna </w:t>
      </w:r>
      <w:r w:rsidRPr="005732A3">
        <w:rPr>
          <w:rFonts w:ascii="Arial" w:hAnsi="Arial" w:cs="Arial"/>
          <w:lang w:val="es-ES"/>
        </w:rPr>
        <w:t>con declaración de misión</w:t>
      </w:r>
      <w:r w:rsidR="007C6DD0" w:rsidRPr="005732A3">
        <w:rPr>
          <w:rFonts w:ascii="Arial" w:hAnsi="Arial" w:cs="Arial"/>
          <w:lang w:val="es-ES"/>
        </w:rPr>
        <w:t>.</w:t>
      </w:r>
    </w:p>
    <w:p w14:paraId="3556EE7B" w14:textId="7FE0F129" w:rsidR="00E75A1F" w:rsidRPr="005732A3" w:rsidRDefault="00E75A1F"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lastRenderedPageBreak/>
        <w:t>Marco Internacional para la Práctica Profesional de la Auditoría Interna</w:t>
      </w:r>
      <w:r w:rsidR="007B381B" w:rsidRPr="005732A3">
        <w:rPr>
          <w:rFonts w:ascii="Arial" w:hAnsi="Arial" w:cs="Arial"/>
          <w:lang w:val="es-ES"/>
        </w:rPr>
        <w:t xml:space="preserve"> </w:t>
      </w:r>
      <w:r w:rsidR="00527478" w:rsidRPr="005732A3">
        <w:rPr>
          <w:rFonts w:ascii="Arial" w:hAnsi="Arial" w:cs="Arial"/>
          <w:lang w:val="es-ES"/>
        </w:rPr>
        <w:t xml:space="preserve">del </w:t>
      </w:r>
      <w:r w:rsidR="007B381B" w:rsidRPr="005732A3">
        <w:rPr>
          <w:rFonts w:ascii="Arial" w:hAnsi="Arial" w:cs="Arial"/>
          <w:lang w:val="es-ES"/>
        </w:rPr>
        <w:t>IIA</w:t>
      </w:r>
      <w:r w:rsidR="002D1BE4" w:rsidRPr="005732A3">
        <w:rPr>
          <w:rFonts w:ascii="Arial" w:hAnsi="Arial" w:cs="Arial"/>
          <w:lang w:val="es-ES"/>
        </w:rPr>
        <w:t xml:space="preserve"> (Incluye las Normas Globales de Auditoría Interna)</w:t>
      </w:r>
      <w:r w:rsidR="007C6DD0" w:rsidRPr="005732A3">
        <w:rPr>
          <w:rFonts w:ascii="Arial" w:hAnsi="Arial" w:cs="Arial"/>
          <w:lang w:val="es-ES"/>
        </w:rPr>
        <w:t>.</w:t>
      </w:r>
    </w:p>
    <w:p w14:paraId="6307B169" w14:textId="7BF71DB4" w:rsidR="00E75A1F" w:rsidRPr="005732A3" w:rsidRDefault="00782BA4"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P</w:t>
      </w:r>
      <w:r w:rsidR="00E75A1F" w:rsidRPr="005732A3">
        <w:rPr>
          <w:rFonts w:ascii="Arial" w:hAnsi="Arial" w:cs="Arial"/>
          <w:lang w:val="es-ES"/>
        </w:rPr>
        <w:t xml:space="preserve">olíticas </w:t>
      </w:r>
      <w:r w:rsidR="007B381B" w:rsidRPr="005732A3">
        <w:rPr>
          <w:rFonts w:ascii="Arial" w:hAnsi="Arial" w:cs="Arial"/>
          <w:lang w:val="es-ES"/>
        </w:rPr>
        <w:t xml:space="preserve">aprobadas </w:t>
      </w:r>
      <w:r w:rsidR="00E75A1F" w:rsidRPr="005732A3">
        <w:rPr>
          <w:rFonts w:ascii="Arial" w:hAnsi="Arial" w:cs="Arial"/>
          <w:lang w:val="es-ES"/>
        </w:rPr>
        <w:t>de</w:t>
      </w:r>
      <w:r w:rsidR="007B381B" w:rsidRPr="005732A3">
        <w:rPr>
          <w:rFonts w:ascii="Arial" w:hAnsi="Arial" w:cs="Arial"/>
          <w:lang w:val="es-ES"/>
        </w:rPr>
        <w:t xml:space="preserve"> la</w:t>
      </w:r>
      <w:r w:rsidR="00E75A1F" w:rsidRPr="005732A3">
        <w:rPr>
          <w:rFonts w:ascii="Arial" w:hAnsi="Arial" w:cs="Arial"/>
          <w:lang w:val="es-ES"/>
        </w:rPr>
        <w:t xml:space="preserve"> </w:t>
      </w:r>
      <w:r w:rsidR="0041208D" w:rsidRPr="005732A3">
        <w:rPr>
          <w:rFonts w:ascii="Arial" w:hAnsi="Arial" w:cs="Arial"/>
          <w:lang w:val="es-ES"/>
        </w:rPr>
        <w:t>función</w:t>
      </w:r>
      <w:r w:rsidR="007B381B" w:rsidRPr="005732A3">
        <w:rPr>
          <w:rFonts w:ascii="Arial" w:hAnsi="Arial" w:cs="Arial"/>
          <w:lang w:val="es-ES"/>
        </w:rPr>
        <w:t xml:space="preserve"> de auditoría interna</w:t>
      </w:r>
      <w:r w:rsidR="007C6DD0" w:rsidRPr="005732A3">
        <w:rPr>
          <w:rFonts w:ascii="Arial" w:hAnsi="Arial" w:cs="Arial"/>
          <w:lang w:val="es-ES"/>
        </w:rPr>
        <w:t>.</w:t>
      </w:r>
    </w:p>
    <w:p w14:paraId="392DE2FC" w14:textId="4CA11A7C" w:rsidR="00E75A1F" w:rsidRPr="005732A3" w:rsidRDefault="00E75A1F"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Procedimientos</w:t>
      </w:r>
      <w:r w:rsidR="007B381B" w:rsidRPr="005732A3">
        <w:rPr>
          <w:rFonts w:ascii="Arial" w:hAnsi="Arial" w:cs="Arial"/>
          <w:lang w:val="es-ES"/>
        </w:rPr>
        <w:t xml:space="preserve"> aprobados </w:t>
      </w:r>
      <w:r w:rsidRPr="005732A3">
        <w:rPr>
          <w:rFonts w:ascii="Arial" w:hAnsi="Arial" w:cs="Arial"/>
          <w:lang w:val="es-ES"/>
        </w:rPr>
        <w:t xml:space="preserve">de </w:t>
      </w:r>
      <w:r w:rsidR="0041208D" w:rsidRPr="005732A3">
        <w:rPr>
          <w:rFonts w:ascii="Arial" w:hAnsi="Arial" w:cs="Arial"/>
          <w:lang w:val="es-ES"/>
        </w:rPr>
        <w:t>función</w:t>
      </w:r>
      <w:r w:rsidR="007B381B" w:rsidRPr="005732A3">
        <w:rPr>
          <w:rFonts w:ascii="Arial" w:hAnsi="Arial" w:cs="Arial"/>
          <w:lang w:val="es-ES"/>
        </w:rPr>
        <w:t xml:space="preserve"> de auditoría interna</w:t>
      </w:r>
      <w:r w:rsidR="007C6DD0" w:rsidRPr="005732A3">
        <w:rPr>
          <w:rFonts w:ascii="Arial" w:hAnsi="Arial" w:cs="Arial"/>
          <w:lang w:val="es-ES"/>
        </w:rPr>
        <w:t>.</w:t>
      </w:r>
    </w:p>
    <w:p w14:paraId="6173D0BB" w14:textId="6DD90AA7" w:rsidR="00E75A1F" w:rsidRPr="005732A3" w:rsidRDefault="00AA26A6"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 xml:space="preserve">Manual de Evaluación de la Calidad de la Actividad de Auditoría Interna </w:t>
      </w:r>
      <w:r w:rsidR="00E75A1F" w:rsidRPr="005732A3">
        <w:rPr>
          <w:rFonts w:ascii="Arial" w:hAnsi="Arial" w:cs="Arial"/>
          <w:lang w:val="es-ES"/>
        </w:rPr>
        <w:t xml:space="preserve">del </w:t>
      </w:r>
      <w:r w:rsidR="00527478" w:rsidRPr="005732A3">
        <w:rPr>
          <w:rFonts w:ascii="Arial" w:hAnsi="Arial" w:cs="Arial"/>
          <w:lang w:val="es-ES"/>
        </w:rPr>
        <w:t>IIA</w:t>
      </w:r>
      <w:r w:rsidR="00AF1A85" w:rsidRPr="005732A3">
        <w:rPr>
          <w:rFonts w:ascii="Arial" w:hAnsi="Arial" w:cs="Arial"/>
          <w:lang w:val="es-ES"/>
        </w:rPr>
        <w:t>.</w:t>
      </w:r>
    </w:p>
    <w:p w14:paraId="63726304" w14:textId="5ED7F09B" w:rsidR="00200446" w:rsidRPr="005732A3" w:rsidRDefault="00200446"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Directrices técnicas emitidas por el Consejo de Auditoría Interna General de Gobierno (CAIGG)</w:t>
      </w:r>
      <w:r w:rsidR="00953999" w:rsidRPr="005732A3">
        <w:rPr>
          <w:rFonts w:ascii="Arial" w:hAnsi="Arial" w:cs="Arial"/>
          <w:lang w:val="es-ES"/>
        </w:rPr>
        <w:t>.</w:t>
      </w:r>
    </w:p>
    <w:p w14:paraId="331B8A86" w14:textId="32A0F20B" w:rsidR="00E75A1F" w:rsidRPr="005732A3" w:rsidRDefault="00E75A1F"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Otros documentos que determine</w:t>
      </w:r>
      <w:r w:rsidR="007B381B" w:rsidRPr="005732A3">
        <w:rPr>
          <w:rFonts w:ascii="Arial" w:hAnsi="Arial" w:cs="Arial"/>
          <w:lang w:val="es-ES"/>
        </w:rPr>
        <w:t xml:space="preserve"> la</w:t>
      </w:r>
      <w:r w:rsidRPr="005732A3">
        <w:rPr>
          <w:rFonts w:ascii="Arial" w:hAnsi="Arial" w:cs="Arial"/>
          <w:lang w:val="es-ES"/>
        </w:rPr>
        <w:t xml:space="preserve"> </w:t>
      </w:r>
      <w:r w:rsidR="0041208D" w:rsidRPr="005732A3">
        <w:rPr>
          <w:rFonts w:ascii="Arial" w:hAnsi="Arial" w:cs="Arial"/>
          <w:lang w:val="es-ES"/>
        </w:rPr>
        <w:t>función</w:t>
      </w:r>
      <w:r w:rsidR="007B381B" w:rsidRPr="005732A3">
        <w:rPr>
          <w:rFonts w:ascii="Arial" w:hAnsi="Arial" w:cs="Arial"/>
          <w:lang w:val="es-ES"/>
        </w:rPr>
        <w:t xml:space="preserve"> de auditoría interna</w:t>
      </w:r>
      <w:r w:rsidR="00474866" w:rsidRPr="005732A3">
        <w:rPr>
          <w:rFonts w:ascii="Arial" w:hAnsi="Arial" w:cs="Arial"/>
          <w:lang w:val="es-ES"/>
        </w:rPr>
        <w:t>.</w:t>
      </w:r>
    </w:p>
    <w:p w14:paraId="429E026F" w14:textId="591773FF" w:rsidR="00E75A1F" w:rsidRPr="005732A3" w:rsidRDefault="00E75A1F" w:rsidP="005732A3">
      <w:pPr>
        <w:pStyle w:val="ListParagraph"/>
        <w:numPr>
          <w:ilvl w:val="1"/>
          <w:numId w:val="2"/>
        </w:numPr>
        <w:spacing w:after="160" w:line="259" w:lineRule="auto"/>
        <w:jc w:val="both"/>
        <w:rPr>
          <w:rFonts w:ascii="Arial" w:hAnsi="Arial" w:cs="Arial"/>
          <w:lang w:val="es-ES"/>
        </w:rPr>
      </w:pPr>
      <w:r w:rsidRPr="005732A3">
        <w:rPr>
          <w:rFonts w:ascii="Arial" w:hAnsi="Arial" w:cs="Arial"/>
          <w:lang w:val="es-ES"/>
        </w:rPr>
        <w:t xml:space="preserve">Inducción interna sobre los antecedentes </w:t>
      </w:r>
      <w:r w:rsidR="007B381B" w:rsidRPr="005732A3">
        <w:rPr>
          <w:rFonts w:ascii="Arial" w:hAnsi="Arial" w:cs="Arial"/>
          <w:lang w:val="es-ES"/>
        </w:rPr>
        <w:t xml:space="preserve">y requerimientos </w:t>
      </w:r>
      <w:r w:rsidRPr="005732A3">
        <w:rPr>
          <w:rFonts w:ascii="Arial" w:hAnsi="Arial" w:cs="Arial"/>
          <w:lang w:val="es-ES"/>
        </w:rPr>
        <w:t>de</w:t>
      </w:r>
      <w:r w:rsidR="007B381B" w:rsidRPr="005732A3">
        <w:rPr>
          <w:rFonts w:ascii="Arial" w:hAnsi="Arial" w:cs="Arial"/>
          <w:lang w:val="es-ES"/>
        </w:rPr>
        <w:t xml:space="preserve"> la</w:t>
      </w:r>
      <w:r w:rsidRPr="005732A3">
        <w:rPr>
          <w:rFonts w:ascii="Arial" w:hAnsi="Arial" w:cs="Arial"/>
          <w:lang w:val="es-ES"/>
        </w:rPr>
        <w:t xml:space="preserve"> </w:t>
      </w:r>
      <w:r w:rsidR="0041208D" w:rsidRPr="005732A3">
        <w:rPr>
          <w:rFonts w:ascii="Arial" w:hAnsi="Arial" w:cs="Arial"/>
          <w:lang w:val="es-ES"/>
        </w:rPr>
        <w:t>función</w:t>
      </w:r>
      <w:r w:rsidR="007B381B" w:rsidRPr="005732A3">
        <w:rPr>
          <w:rFonts w:ascii="Arial" w:hAnsi="Arial" w:cs="Arial"/>
          <w:lang w:val="es-ES"/>
        </w:rPr>
        <w:t xml:space="preserve"> de auditoría interna</w:t>
      </w:r>
      <w:r w:rsidR="007C6DD0" w:rsidRPr="005732A3">
        <w:rPr>
          <w:rFonts w:ascii="Arial" w:hAnsi="Arial" w:cs="Arial"/>
          <w:lang w:val="es-ES"/>
        </w:rPr>
        <w:t>.</w:t>
      </w:r>
    </w:p>
    <w:bookmarkEnd w:id="1"/>
    <w:p w14:paraId="42D0284D" w14:textId="0E0F282C" w:rsidR="00E75A1F" w:rsidRPr="005732A3" w:rsidRDefault="00E75A1F" w:rsidP="005732A3">
      <w:pPr>
        <w:jc w:val="both"/>
        <w:rPr>
          <w:rFonts w:ascii="Arial" w:hAnsi="Arial" w:cs="Arial"/>
          <w:lang w:val="es-ES"/>
        </w:rPr>
      </w:pPr>
      <w:r w:rsidRPr="005732A3">
        <w:rPr>
          <w:rFonts w:ascii="Arial" w:hAnsi="Arial" w:cs="Arial"/>
          <w:lang w:val="es-ES"/>
        </w:rPr>
        <w:t xml:space="preserve">Se deberá firmar un acta que refleje la entrega, toma de conocimiento y comprensión de </w:t>
      </w:r>
      <w:r w:rsidR="00B07FA6" w:rsidRPr="005732A3">
        <w:rPr>
          <w:rFonts w:ascii="Arial" w:hAnsi="Arial" w:cs="Arial"/>
          <w:lang w:val="es-ES"/>
        </w:rPr>
        <w:t xml:space="preserve">estos </w:t>
      </w:r>
      <w:r w:rsidRPr="005732A3">
        <w:rPr>
          <w:rFonts w:ascii="Arial" w:hAnsi="Arial" w:cs="Arial"/>
          <w:lang w:val="es-ES"/>
        </w:rPr>
        <w:t xml:space="preserve">documentos, así como </w:t>
      </w:r>
      <w:r w:rsidR="00782BA4" w:rsidRPr="005732A3">
        <w:rPr>
          <w:rFonts w:ascii="Arial" w:hAnsi="Arial" w:cs="Arial"/>
          <w:lang w:val="es-ES"/>
        </w:rPr>
        <w:t xml:space="preserve">los </w:t>
      </w:r>
      <w:r w:rsidRPr="005732A3">
        <w:rPr>
          <w:rFonts w:ascii="Arial" w:hAnsi="Arial" w:cs="Arial"/>
          <w:lang w:val="es-ES"/>
        </w:rPr>
        <w:t>respaldos de la inducción interna. De igual forma, se podrá enviar de manera digital tales documentos. Para lo anterior</w:t>
      </w:r>
      <w:r w:rsidR="00AA26A6" w:rsidRPr="005732A3">
        <w:rPr>
          <w:rFonts w:ascii="Arial" w:hAnsi="Arial" w:cs="Arial"/>
          <w:lang w:val="es-ES"/>
        </w:rPr>
        <w:t>,</w:t>
      </w:r>
      <w:r w:rsidRPr="005732A3">
        <w:rPr>
          <w:rFonts w:ascii="Arial" w:hAnsi="Arial" w:cs="Arial"/>
          <w:lang w:val="es-ES"/>
        </w:rPr>
        <w:t xml:space="preserve"> se utilizará el </w:t>
      </w:r>
      <w:r w:rsidR="000F41C6" w:rsidRPr="005732A3">
        <w:rPr>
          <w:rFonts w:ascii="Arial" w:hAnsi="Arial" w:cs="Arial"/>
          <w:lang w:val="es-ES"/>
        </w:rPr>
        <w:t xml:space="preserve">anexo </w:t>
      </w:r>
      <w:r w:rsidR="000F41C6" w:rsidRPr="005732A3">
        <w:rPr>
          <w:rFonts w:ascii="Arial" w:hAnsi="Arial" w:cs="Arial"/>
          <w:b/>
          <w:lang w:val="es-ES"/>
        </w:rPr>
        <w:t>F</w:t>
      </w:r>
      <w:r w:rsidRPr="005732A3">
        <w:rPr>
          <w:rFonts w:ascii="Arial" w:hAnsi="Arial" w:cs="Arial"/>
          <w:b/>
          <w:lang w:val="es-ES"/>
        </w:rPr>
        <w:t xml:space="preserve">ormulario </w:t>
      </w:r>
      <w:r w:rsidR="00D077E2" w:rsidRPr="005732A3">
        <w:rPr>
          <w:rFonts w:ascii="Arial" w:hAnsi="Arial" w:cs="Arial"/>
          <w:b/>
          <w:lang w:val="es-ES"/>
        </w:rPr>
        <w:t>Entrega</w:t>
      </w:r>
      <w:r w:rsidR="007B381B" w:rsidRPr="005732A3">
        <w:rPr>
          <w:rFonts w:ascii="Arial" w:hAnsi="Arial" w:cs="Arial"/>
          <w:b/>
          <w:lang w:val="es-ES"/>
        </w:rPr>
        <w:t xml:space="preserve"> </w:t>
      </w:r>
      <w:r w:rsidR="00FE2A9B" w:rsidRPr="005732A3">
        <w:rPr>
          <w:rFonts w:ascii="Arial" w:hAnsi="Arial" w:cs="Arial"/>
          <w:b/>
          <w:lang w:val="es-ES"/>
        </w:rPr>
        <w:t>O</w:t>
      </w:r>
      <w:r w:rsidR="007B381B" w:rsidRPr="005732A3">
        <w:rPr>
          <w:rFonts w:ascii="Arial" w:hAnsi="Arial" w:cs="Arial"/>
          <w:b/>
          <w:lang w:val="es-ES"/>
        </w:rPr>
        <w:t xml:space="preserve">tros </w:t>
      </w:r>
      <w:r w:rsidR="00FE2A9B" w:rsidRPr="005732A3">
        <w:rPr>
          <w:rFonts w:ascii="Arial" w:hAnsi="Arial" w:cs="Arial"/>
          <w:b/>
          <w:lang w:val="es-ES"/>
        </w:rPr>
        <w:t>D</w:t>
      </w:r>
      <w:r w:rsidR="007B381B" w:rsidRPr="005732A3">
        <w:rPr>
          <w:rFonts w:ascii="Arial" w:hAnsi="Arial" w:cs="Arial"/>
          <w:b/>
          <w:lang w:val="es-ES"/>
        </w:rPr>
        <w:t>ocumentos</w:t>
      </w:r>
      <w:r w:rsidRPr="005732A3">
        <w:rPr>
          <w:rFonts w:ascii="Arial" w:hAnsi="Arial" w:cs="Arial"/>
          <w:lang w:val="es-ES"/>
        </w:rPr>
        <w:t>.</w:t>
      </w:r>
    </w:p>
    <w:p w14:paraId="46A6F2DB" w14:textId="6B71DF62" w:rsidR="00E75A1F" w:rsidRPr="005732A3" w:rsidRDefault="00E75A1F" w:rsidP="005732A3">
      <w:pPr>
        <w:pStyle w:val="ListParagraph"/>
        <w:numPr>
          <w:ilvl w:val="0"/>
          <w:numId w:val="4"/>
        </w:numPr>
        <w:spacing w:after="120"/>
        <w:ind w:left="426"/>
        <w:jc w:val="both"/>
        <w:rPr>
          <w:rFonts w:ascii="Arial" w:hAnsi="Arial" w:cs="Arial"/>
          <w:b/>
          <w:lang w:val="es-ES"/>
        </w:rPr>
      </w:pPr>
      <w:r w:rsidRPr="005732A3">
        <w:rPr>
          <w:rFonts w:ascii="Arial" w:hAnsi="Arial" w:cs="Arial"/>
          <w:b/>
          <w:lang w:val="es-ES"/>
        </w:rPr>
        <w:t>Aspectos a informar sobre cualquier impedimento a la objetividad del Jefe de Auditoría</w:t>
      </w:r>
    </w:p>
    <w:p w14:paraId="0DBF9015" w14:textId="42BC9F61" w:rsidR="00E75A1F" w:rsidRPr="005732A3" w:rsidRDefault="00AA26A6" w:rsidP="005732A3">
      <w:pPr>
        <w:spacing w:after="120"/>
        <w:jc w:val="both"/>
        <w:rPr>
          <w:rFonts w:ascii="Arial" w:hAnsi="Arial" w:cs="Arial"/>
          <w:lang w:val="es-ES"/>
        </w:rPr>
      </w:pPr>
      <w:r w:rsidRPr="005732A3">
        <w:rPr>
          <w:rFonts w:ascii="Arial" w:hAnsi="Arial" w:cs="Arial"/>
          <w:lang w:val="es-ES"/>
        </w:rPr>
        <w:t>Los asuntos o reportes que tratar</w:t>
      </w:r>
      <w:r w:rsidR="00E75A1F" w:rsidRPr="005732A3">
        <w:rPr>
          <w:rFonts w:ascii="Arial" w:hAnsi="Arial" w:cs="Arial"/>
          <w:lang w:val="es-ES"/>
        </w:rPr>
        <w:t xml:space="preserve"> con </w:t>
      </w:r>
      <w:r w:rsidR="007C6DD0" w:rsidRPr="005732A3">
        <w:rPr>
          <w:rFonts w:ascii="Arial" w:hAnsi="Arial" w:cs="Arial"/>
          <w:lang w:val="es-ES"/>
        </w:rPr>
        <w:t xml:space="preserve">el </w:t>
      </w:r>
      <w:r w:rsidR="00454FB8" w:rsidRPr="005732A3">
        <w:rPr>
          <w:rFonts w:ascii="Arial" w:hAnsi="Arial" w:cs="Arial"/>
          <w:lang w:val="es-ES"/>
        </w:rPr>
        <w:t>Jefe de Servicio</w:t>
      </w:r>
      <w:r w:rsidR="00E75A1F" w:rsidRPr="005732A3">
        <w:rPr>
          <w:rFonts w:ascii="Arial" w:hAnsi="Arial" w:cs="Arial"/>
          <w:lang w:val="es-ES"/>
        </w:rPr>
        <w:t>, en las reuniones correspondientes, que permitan evaluar el riesgo global de potenciales impedimentos a la objetividad del Jefe de Auditoría, entre otros asuntos incluye</w:t>
      </w:r>
      <w:r w:rsidR="00782BA4" w:rsidRPr="005732A3">
        <w:rPr>
          <w:rFonts w:ascii="Arial" w:hAnsi="Arial" w:cs="Arial"/>
          <w:lang w:val="es-ES"/>
        </w:rPr>
        <w:t>n</w:t>
      </w:r>
      <w:r w:rsidR="00E75A1F" w:rsidRPr="005732A3">
        <w:rPr>
          <w:rFonts w:ascii="Arial" w:hAnsi="Arial" w:cs="Arial"/>
          <w:lang w:val="es-ES"/>
        </w:rPr>
        <w:t xml:space="preserve"> lo siguiente:</w:t>
      </w:r>
    </w:p>
    <w:p w14:paraId="090724EA" w14:textId="2589CA4D" w:rsidR="00E75A1F" w:rsidRPr="005732A3" w:rsidRDefault="00E75A1F" w:rsidP="005732A3">
      <w:pPr>
        <w:pStyle w:val="ListParagraph"/>
        <w:numPr>
          <w:ilvl w:val="0"/>
          <w:numId w:val="6"/>
        </w:numPr>
        <w:spacing w:after="160" w:line="259" w:lineRule="auto"/>
        <w:jc w:val="both"/>
        <w:rPr>
          <w:rFonts w:ascii="Arial" w:hAnsi="Arial" w:cs="Arial"/>
          <w:lang w:val="es-ES"/>
        </w:rPr>
      </w:pPr>
      <w:r w:rsidRPr="005732A3">
        <w:rPr>
          <w:rFonts w:ascii="Arial" w:hAnsi="Arial" w:cs="Arial"/>
          <w:lang w:val="es-ES"/>
        </w:rPr>
        <w:t>Funciones y responsabilidades que se encargue que el Jefe de Auditoría asuma.</w:t>
      </w:r>
    </w:p>
    <w:p w14:paraId="721FC9B8" w14:textId="77777777" w:rsidR="00E75A1F" w:rsidRPr="005732A3" w:rsidRDefault="00E75A1F" w:rsidP="005732A3">
      <w:pPr>
        <w:pStyle w:val="ListParagraph"/>
        <w:numPr>
          <w:ilvl w:val="0"/>
          <w:numId w:val="6"/>
        </w:numPr>
        <w:spacing w:after="160" w:line="259" w:lineRule="auto"/>
        <w:jc w:val="both"/>
        <w:rPr>
          <w:rFonts w:ascii="Arial" w:hAnsi="Arial" w:cs="Arial"/>
          <w:lang w:val="es-ES"/>
        </w:rPr>
      </w:pPr>
      <w:r w:rsidRPr="005732A3">
        <w:rPr>
          <w:rFonts w:ascii="Arial" w:hAnsi="Arial" w:cs="Arial"/>
          <w:lang w:val="es-ES"/>
        </w:rPr>
        <w:t>Riesgos relacionados con las anteriores funciones y responsabilidades.</w:t>
      </w:r>
    </w:p>
    <w:p w14:paraId="488A9832" w14:textId="23572400" w:rsidR="00E75A1F" w:rsidRPr="005732A3" w:rsidRDefault="00E75A1F" w:rsidP="005732A3">
      <w:pPr>
        <w:pStyle w:val="ListParagraph"/>
        <w:numPr>
          <w:ilvl w:val="0"/>
          <w:numId w:val="6"/>
        </w:numPr>
        <w:spacing w:after="160" w:line="259" w:lineRule="auto"/>
        <w:jc w:val="both"/>
        <w:rPr>
          <w:rFonts w:ascii="Arial" w:hAnsi="Arial" w:cs="Arial"/>
          <w:lang w:val="es-ES"/>
        </w:rPr>
      </w:pPr>
      <w:r w:rsidRPr="005732A3">
        <w:rPr>
          <w:rFonts w:ascii="Arial" w:hAnsi="Arial" w:cs="Arial"/>
          <w:lang w:val="es-ES"/>
        </w:rPr>
        <w:t xml:space="preserve">Salvaguardas para la objetividad del Jefe de Auditoría, incluyendo las que tengan como objetivo limitar los impedimentos a </w:t>
      </w:r>
      <w:r w:rsidR="00035F6E" w:rsidRPr="005732A3">
        <w:rPr>
          <w:rFonts w:ascii="Arial" w:hAnsi="Arial" w:cs="Arial"/>
          <w:lang w:val="es-ES"/>
        </w:rPr>
        <w:t xml:space="preserve">la </w:t>
      </w:r>
      <w:r w:rsidRPr="005732A3">
        <w:rPr>
          <w:rFonts w:ascii="Arial" w:hAnsi="Arial" w:cs="Arial"/>
          <w:lang w:val="es-ES"/>
        </w:rPr>
        <w:t>objetividad.</w:t>
      </w:r>
    </w:p>
    <w:p w14:paraId="07FD95DA" w14:textId="77777777" w:rsidR="00E75A1F" w:rsidRPr="005732A3" w:rsidRDefault="00E75A1F" w:rsidP="005732A3">
      <w:pPr>
        <w:pStyle w:val="ListParagraph"/>
        <w:numPr>
          <w:ilvl w:val="0"/>
          <w:numId w:val="6"/>
        </w:numPr>
        <w:spacing w:after="160" w:line="259" w:lineRule="auto"/>
        <w:jc w:val="both"/>
        <w:rPr>
          <w:rFonts w:ascii="Arial" w:hAnsi="Arial" w:cs="Arial"/>
          <w:lang w:val="es-ES"/>
        </w:rPr>
      </w:pPr>
      <w:r w:rsidRPr="005732A3">
        <w:rPr>
          <w:rFonts w:ascii="Arial" w:hAnsi="Arial" w:cs="Arial"/>
          <w:lang w:val="es-ES"/>
        </w:rPr>
        <w:t>Controles con los que se cuenta para validar que las salvaguardas están operando en forma eficaz.</w:t>
      </w:r>
    </w:p>
    <w:p w14:paraId="266A7DF3" w14:textId="72385A5E" w:rsidR="00E75A1F" w:rsidRPr="005732A3" w:rsidRDefault="00E75A1F" w:rsidP="005732A3">
      <w:pPr>
        <w:pStyle w:val="ListParagraph"/>
        <w:numPr>
          <w:ilvl w:val="0"/>
          <w:numId w:val="6"/>
        </w:numPr>
        <w:spacing w:after="160" w:line="259" w:lineRule="auto"/>
        <w:jc w:val="both"/>
        <w:rPr>
          <w:rFonts w:ascii="Arial" w:hAnsi="Arial" w:cs="Arial"/>
          <w:lang w:val="es-ES"/>
        </w:rPr>
      </w:pPr>
      <w:r w:rsidRPr="005732A3">
        <w:rPr>
          <w:rFonts w:ascii="Arial" w:hAnsi="Arial" w:cs="Arial"/>
          <w:lang w:val="es-ES"/>
        </w:rPr>
        <w:t>Plan de traspaso de funciones, si la asignación al Jefe de Auditoría contempla su desempeño solo en el corto plazo.</w:t>
      </w:r>
    </w:p>
    <w:p w14:paraId="5E6E9E21" w14:textId="77777777" w:rsidR="00E75A1F" w:rsidRPr="005732A3" w:rsidRDefault="00E75A1F" w:rsidP="005732A3">
      <w:pPr>
        <w:pStyle w:val="ListParagraph"/>
        <w:numPr>
          <w:ilvl w:val="0"/>
          <w:numId w:val="6"/>
        </w:numPr>
        <w:spacing w:after="160" w:line="259" w:lineRule="auto"/>
        <w:jc w:val="both"/>
        <w:rPr>
          <w:rFonts w:ascii="Arial" w:hAnsi="Arial" w:cs="Arial"/>
          <w:lang w:val="es-ES"/>
        </w:rPr>
      </w:pPr>
      <w:r w:rsidRPr="005732A3">
        <w:rPr>
          <w:rFonts w:ascii="Arial" w:hAnsi="Arial" w:cs="Arial"/>
          <w:lang w:val="es-ES"/>
        </w:rPr>
        <w:t>Comunicaciones o interacciones con el Jefe de Servicio y/o equipo asesor o directivo.</w:t>
      </w:r>
    </w:p>
    <w:p w14:paraId="29B164A2" w14:textId="2F1EA005" w:rsidR="00E75A1F" w:rsidRPr="005732A3" w:rsidRDefault="00E75A1F" w:rsidP="005732A3">
      <w:pPr>
        <w:pStyle w:val="ListParagraph"/>
        <w:numPr>
          <w:ilvl w:val="0"/>
          <w:numId w:val="6"/>
        </w:numPr>
        <w:spacing w:after="0" w:line="259" w:lineRule="auto"/>
        <w:jc w:val="both"/>
        <w:rPr>
          <w:rFonts w:ascii="Arial" w:hAnsi="Arial" w:cs="Arial"/>
          <w:lang w:val="es-ES"/>
        </w:rPr>
      </w:pPr>
      <w:r w:rsidRPr="005732A3">
        <w:rPr>
          <w:rFonts w:ascii="Arial" w:hAnsi="Arial" w:cs="Arial"/>
          <w:lang w:val="es-ES"/>
        </w:rPr>
        <w:t>Instrucciones del Jefe de Servicio.</w:t>
      </w:r>
    </w:p>
    <w:p w14:paraId="1495715D" w14:textId="77777777" w:rsidR="007914BE" w:rsidRPr="005732A3" w:rsidRDefault="007914BE" w:rsidP="005732A3">
      <w:pPr>
        <w:spacing w:after="0" w:line="259" w:lineRule="auto"/>
        <w:jc w:val="both"/>
        <w:rPr>
          <w:rFonts w:ascii="Arial" w:hAnsi="Arial" w:cs="Arial"/>
          <w:lang w:val="es-ES"/>
        </w:rPr>
      </w:pPr>
    </w:p>
    <w:p w14:paraId="50BC055D" w14:textId="58EE644F" w:rsidR="00DA7CBA" w:rsidRPr="005732A3" w:rsidRDefault="003E2A42" w:rsidP="005732A3">
      <w:pPr>
        <w:pStyle w:val="ListParagraph"/>
        <w:numPr>
          <w:ilvl w:val="0"/>
          <w:numId w:val="4"/>
        </w:numPr>
        <w:ind w:left="426"/>
        <w:jc w:val="both"/>
        <w:rPr>
          <w:rFonts w:ascii="Arial" w:hAnsi="Arial" w:cs="Arial"/>
          <w:b/>
        </w:rPr>
      </w:pPr>
      <w:r w:rsidRPr="005732A3">
        <w:rPr>
          <w:rFonts w:ascii="Arial" w:eastAsia="Times New Roman" w:hAnsi="Arial" w:cs="Arial"/>
          <w:b/>
          <w:lang w:eastAsia="es-CL"/>
        </w:rPr>
        <w:t>Aprobación y Actualización</w:t>
      </w:r>
    </w:p>
    <w:p w14:paraId="1EECC442" w14:textId="77777777" w:rsidR="00AA6252" w:rsidRPr="005732A3" w:rsidRDefault="00AA6252" w:rsidP="005732A3">
      <w:pPr>
        <w:spacing w:after="0" w:line="240" w:lineRule="auto"/>
        <w:jc w:val="both"/>
        <w:rPr>
          <w:rFonts w:ascii="Arial" w:hAnsi="Arial" w:cs="Arial"/>
          <w:b/>
          <w:lang w:val="es-ES"/>
        </w:rPr>
      </w:pPr>
      <w:r w:rsidRPr="005732A3">
        <w:rPr>
          <w:rFonts w:ascii="Arial" w:eastAsia="Times New Roman" w:hAnsi="Arial" w:cs="Arial"/>
          <w:lang w:eastAsia="es-CL"/>
        </w:rPr>
        <w:t xml:space="preserve">Este procedimiento será aprobado por el Jefe de Auditoría y por el Jefe de Servicio (cuando así se ha definido en el Servicio) y será revisado de manera periódica, al menos una vez al año, o cuando se produzcan cambios significativos en la organización o en las políticas y/o normativas aplicables. </w:t>
      </w:r>
    </w:p>
    <w:p w14:paraId="7C31CDFF" w14:textId="77777777" w:rsidR="00AA6252" w:rsidRPr="005732A3" w:rsidRDefault="00AA6252" w:rsidP="005732A3">
      <w:pPr>
        <w:pStyle w:val="ListParagraph"/>
        <w:spacing w:after="0" w:line="240" w:lineRule="auto"/>
        <w:jc w:val="both"/>
        <w:rPr>
          <w:rFonts w:ascii="Arial" w:hAnsi="Arial" w:cs="Arial"/>
          <w:bCs/>
        </w:rPr>
      </w:pPr>
    </w:p>
    <w:p w14:paraId="1DB8AE6B" w14:textId="77777777" w:rsidR="00AA6252" w:rsidRPr="005732A3" w:rsidRDefault="00AA6252" w:rsidP="005732A3">
      <w:pPr>
        <w:spacing w:after="0" w:line="240" w:lineRule="auto"/>
        <w:jc w:val="both"/>
        <w:rPr>
          <w:rFonts w:ascii="Arial" w:hAnsi="Arial" w:cs="Arial"/>
          <w:bCs/>
          <w:lang w:val="es-ES"/>
        </w:rPr>
      </w:pPr>
      <w:r w:rsidRPr="005732A3">
        <w:rPr>
          <w:rFonts w:ascii="Arial" w:eastAsia="Times New Roman" w:hAnsi="Arial" w:cs="Arial"/>
          <w:lang w:eastAsia="es-CL"/>
        </w:rPr>
        <w:t xml:space="preserve">El Jefe de Auditoría será responsable de su revisión y actualización, asegurando su continua alineación con las Normas Globales de Auditoría Interna y los lineamientos sobre la materia definidos por el </w:t>
      </w:r>
      <w:bookmarkStart w:id="2" w:name="_Hlk191880986"/>
      <w:r w:rsidRPr="005732A3">
        <w:rPr>
          <w:rFonts w:ascii="Arial" w:eastAsia="Times New Roman" w:hAnsi="Arial" w:cs="Arial"/>
          <w:lang w:eastAsia="es-CL"/>
        </w:rPr>
        <w:t xml:space="preserve">Consejo de Auditoría Interna General de Gobierno (CAIGG) o por el </w:t>
      </w:r>
      <w:r w:rsidRPr="005732A3">
        <w:rPr>
          <w:rFonts w:ascii="Arial" w:eastAsia="Calibri" w:hAnsi="Arial" w:cs="Arial"/>
          <w:lang w:val="es-ES"/>
        </w:rPr>
        <w:t>Servicio de Auditoría Interna de Gobierno (SAIG).</w:t>
      </w:r>
    </w:p>
    <w:bookmarkEnd w:id="2"/>
    <w:p w14:paraId="74AB04D1" w14:textId="77777777" w:rsidR="00DA7CBA" w:rsidRPr="005732A3" w:rsidRDefault="00DA7CBA" w:rsidP="005732A3">
      <w:pPr>
        <w:pStyle w:val="ListParagraph"/>
        <w:spacing w:after="0" w:line="259" w:lineRule="auto"/>
        <w:jc w:val="both"/>
        <w:rPr>
          <w:rFonts w:ascii="Arial" w:hAnsi="Arial" w:cs="Arial"/>
          <w:lang w:val="es-ES"/>
        </w:rPr>
      </w:pPr>
    </w:p>
    <w:p w14:paraId="345B8682" w14:textId="425DF3A7" w:rsidR="00C83D97" w:rsidRPr="005732A3" w:rsidRDefault="00C83D97" w:rsidP="005732A3">
      <w:pPr>
        <w:spacing w:line="240" w:lineRule="auto"/>
        <w:jc w:val="both"/>
        <w:rPr>
          <w:rFonts w:ascii="Arial" w:hAnsi="Arial" w:cs="Arial"/>
          <w:b/>
          <w:bCs/>
          <w:lang w:val="es-ES"/>
        </w:rPr>
      </w:pPr>
      <w:r w:rsidRPr="005732A3">
        <w:rPr>
          <w:rFonts w:ascii="Arial" w:hAnsi="Arial" w:cs="Arial"/>
          <w:b/>
          <w:bCs/>
          <w:lang w:val="es-ES"/>
        </w:rPr>
        <w:t>6. INDICADORES CLAVE DE DESEMPEÑO</w:t>
      </w:r>
      <w:r w:rsidR="001176BA">
        <w:rPr>
          <w:rFonts w:ascii="Arial" w:hAnsi="Arial" w:cs="Arial"/>
          <w:b/>
          <w:bCs/>
          <w:lang w:val="es-ES"/>
        </w:rPr>
        <w:t xml:space="preserve"> </w:t>
      </w:r>
      <w:r w:rsidR="003D08E2">
        <w:rPr>
          <w:rFonts w:ascii="Arial" w:hAnsi="Arial" w:cs="Arial"/>
          <w:b/>
          <w:bCs/>
          <w:lang w:val="es-ES"/>
        </w:rPr>
        <w:t>(MEDIDAS DE DESEMPEÑO)</w:t>
      </w:r>
    </w:p>
    <w:p w14:paraId="0C680427" w14:textId="77777777" w:rsidR="008E5C9C" w:rsidRPr="005732A3" w:rsidRDefault="008E5C9C" w:rsidP="005732A3">
      <w:pPr>
        <w:spacing w:after="120"/>
        <w:jc w:val="both"/>
        <w:rPr>
          <w:rFonts w:ascii="Arial" w:hAnsi="Arial" w:cs="Arial"/>
          <w:lang w:val="es-ES"/>
        </w:rPr>
      </w:pPr>
      <w:r w:rsidRPr="005732A3">
        <w:rPr>
          <w:rFonts w:ascii="Arial" w:hAnsi="Arial" w:cs="Arial"/>
          <w:lang w:val="es-ES"/>
        </w:rPr>
        <w:t xml:space="preserve">Para medir el progreso y el cumplimiento de los objetivos de desempeño, en alineación con las Normas Globales de Auditoría Interna, especialmente la Norma 12.2: Medición del Desempeño, y las mejores prácticas, se deben utilizar indicadores clave de desempeño, previamente aprobados por el Jefe de Servicio. </w:t>
      </w:r>
    </w:p>
    <w:p w14:paraId="0D73FFDF" w14:textId="77777777" w:rsidR="008E5C9C" w:rsidRPr="005732A3" w:rsidRDefault="008E5C9C" w:rsidP="005732A3">
      <w:pPr>
        <w:spacing w:after="120"/>
        <w:jc w:val="both"/>
        <w:rPr>
          <w:rFonts w:ascii="Arial" w:hAnsi="Arial" w:cs="Arial"/>
          <w:lang w:val="es-ES"/>
        </w:rPr>
      </w:pPr>
      <w:r w:rsidRPr="005732A3">
        <w:rPr>
          <w:rFonts w:ascii="Arial" w:hAnsi="Arial" w:cs="Arial"/>
          <w:lang w:val="es-ES"/>
        </w:rPr>
        <w:t xml:space="preserve">En su desarrollo, estos indicadores deben considerar los aportes y expectativas del Jefe de Servicio, con el propósito de evaluar, monitorear e informar sobre el avance y cumplimiento de la materia regulada en este procedimiento. </w:t>
      </w:r>
    </w:p>
    <w:p w14:paraId="362BCE3A" w14:textId="77777777" w:rsidR="008E5C9C" w:rsidRPr="005732A3" w:rsidRDefault="008E5C9C" w:rsidP="005732A3">
      <w:pPr>
        <w:spacing w:after="120"/>
        <w:jc w:val="both"/>
        <w:rPr>
          <w:rFonts w:ascii="Arial" w:hAnsi="Arial" w:cs="Arial"/>
          <w:lang w:val="es-ES"/>
        </w:rPr>
      </w:pPr>
      <w:r w:rsidRPr="005732A3">
        <w:rPr>
          <w:rFonts w:ascii="Arial" w:hAnsi="Arial" w:cs="Arial"/>
          <w:lang w:val="es-ES"/>
        </w:rPr>
        <w:t xml:space="preserve">El período durante el cual se recopilarán y analizarán los datos de los indicadores clave de desempeño será de </w:t>
      </w:r>
      <w:proofErr w:type="spellStart"/>
      <w:r w:rsidRPr="005732A3">
        <w:rPr>
          <w:rFonts w:ascii="Arial" w:hAnsi="Arial" w:cs="Arial"/>
          <w:lang w:val="es-ES"/>
        </w:rPr>
        <w:t>xx</w:t>
      </w:r>
      <w:proofErr w:type="spellEnd"/>
      <w:r w:rsidRPr="005732A3">
        <w:rPr>
          <w:rFonts w:ascii="Arial" w:hAnsi="Arial" w:cs="Arial"/>
          <w:lang w:val="es-ES"/>
        </w:rPr>
        <w:t xml:space="preserve"> (mensual, trimestral, semestral o anual, según las metas de la función de auditoría interna y los ciclos de evaluación establecidos en la planificación estratégica). Los resultados </w:t>
      </w:r>
      <w:r w:rsidRPr="005732A3">
        <w:rPr>
          <w:rFonts w:ascii="Arial" w:hAnsi="Arial" w:cs="Arial"/>
          <w:lang w:val="es-ES"/>
        </w:rPr>
        <w:lastRenderedPageBreak/>
        <w:t xml:space="preserve">deberán ser informados al Jefe de Servicio dentro de un plazo de </w:t>
      </w:r>
      <w:proofErr w:type="spellStart"/>
      <w:r w:rsidRPr="005732A3">
        <w:rPr>
          <w:rFonts w:ascii="Arial" w:hAnsi="Arial" w:cs="Arial"/>
          <w:lang w:val="es-ES"/>
        </w:rPr>
        <w:t>xx</w:t>
      </w:r>
      <w:proofErr w:type="spellEnd"/>
      <w:r w:rsidRPr="005732A3">
        <w:rPr>
          <w:rFonts w:ascii="Arial" w:hAnsi="Arial" w:cs="Arial"/>
          <w:lang w:val="es-ES"/>
        </w:rPr>
        <w:t xml:space="preserve"> (mensual, trimestral, semestral o anual). </w:t>
      </w:r>
    </w:p>
    <w:p w14:paraId="5E0033CE" w14:textId="45BFA505" w:rsidR="00C83D97" w:rsidRPr="005732A3" w:rsidRDefault="008E5C9C" w:rsidP="005732A3">
      <w:pPr>
        <w:spacing w:after="120"/>
        <w:jc w:val="both"/>
        <w:rPr>
          <w:rFonts w:ascii="Arial" w:hAnsi="Arial" w:cs="Arial"/>
          <w:b/>
          <w:bCs/>
          <w:lang w:val="es-ES"/>
        </w:rPr>
      </w:pPr>
      <w:r w:rsidRPr="005732A3">
        <w:rPr>
          <w:rFonts w:ascii="Arial" w:hAnsi="Arial" w:cs="Arial"/>
          <w:lang w:val="es-ES"/>
        </w:rPr>
        <w:t xml:space="preserve">Para el registro y reporte de los indicadores clave de desempeño se debe utilizar el </w:t>
      </w:r>
      <w:r w:rsidR="003F68E2" w:rsidRPr="003F68E2">
        <w:rPr>
          <w:rFonts w:ascii="Arial" w:hAnsi="Arial" w:cs="Arial"/>
          <w:b/>
          <w:bCs/>
          <w:lang w:val="es-ES"/>
        </w:rPr>
        <w:t>Formulario Cumplimiento Indicadores Desempeño</w:t>
      </w:r>
      <w:r w:rsidRPr="005732A3">
        <w:rPr>
          <w:rFonts w:ascii="Arial" w:hAnsi="Arial" w:cs="Arial"/>
          <w:b/>
          <w:bCs/>
          <w:lang w:val="es-ES"/>
        </w:rPr>
        <w:t>.</w:t>
      </w:r>
    </w:p>
    <w:p w14:paraId="609DDD67" w14:textId="791BD574" w:rsidR="004C7BFD" w:rsidRPr="005732A3" w:rsidRDefault="006B63BF" w:rsidP="005732A3">
      <w:pPr>
        <w:spacing w:before="100" w:beforeAutospacing="1" w:after="100" w:afterAutospacing="1" w:line="240" w:lineRule="auto"/>
        <w:jc w:val="both"/>
        <w:rPr>
          <w:rFonts w:ascii="Arial" w:eastAsia="Times New Roman" w:hAnsi="Arial" w:cs="Arial"/>
          <w:lang w:eastAsia="es-CL"/>
        </w:rPr>
      </w:pPr>
      <w:r w:rsidRPr="005732A3">
        <w:rPr>
          <w:rFonts w:ascii="Arial" w:eastAsia="Times New Roman" w:hAnsi="Arial" w:cs="Arial"/>
          <w:lang w:eastAsia="es-CL"/>
        </w:rPr>
        <w:t>Los indicadores clave de desempeño a considerar son los siguientes (la lista no es taxativa):</w:t>
      </w:r>
      <w:r w:rsidR="00544F91" w:rsidRPr="005732A3">
        <w:rPr>
          <w:rFonts w:ascii="Arial" w:eastAsia="Times New Roman" w:hAnsi="Arial" w:cs="Arial"/>
          <w:vanish/>
          <w:lang w:eastAsia="es-CL"/>
        </w:rPr>
        <w:t xml:space="preserve"> </w:t>
      </w:r>
      <w:r w:rsidR="004C7BFD" w:rsidRPr="005732A3">
        <w:rPr>
          <w:rFonts w:ascii="Arial" w:eastAsia="Times New Roman" w:hAnsi="Arial" w:cs="Arial"/>
          <w:vanish/>
          <w:lang w:eastAsia="es-CL"/>
        </w:rPr>
        <w:t>Bottom of Form</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440"/>
        <w:gridCol w:w="1532"/>
        <w:gridCol w:w="1658"/>
        <w:gridCol w:w="1767"/>
        <w:gridCol w:w="1647"/>
        <w:gridCol w:w="1092"/>
        <w:gridCol w:w="1039"/>
      </w:tblGrid>
      <w:tr w:rsidR="004E1F29" w:rsidRPr="004E1F29" w14:paraId="5535682D" w14:textId="77777777" w:rsidTr="004E1F29">
        <w:trPr>
          <w:tblHeader/>
          <w:tblCellSpacing w:w="15" w:type="dxa"/>
        </w:trPr>
        <w:tc>
          <w:tcPr>
            <w:tcW w:w="0" w:type="auto"/>
            <w:shd w:val="clear" w:color="auto" w:fill="0070C0"/>
            <w:vAlign w:val="center"/>
            <w:hideMark/>
          </w:tcPr>
          <w:p w14:paraId="5B83A3F9"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Áreas Claves de Resultados</w:t>
            </w:r>
          </w:p>
        </w:tc>
        <w:tc>
          <w:tcPr>
            <w:tcW w:w="0" w:type="auto"/>
            <w:shd w:val="clear" w:color="auto" w:fill="0070C0"/>
            <w:vAlign w:val="center"/>
            <w:hideMark/>
          </w:tcPr>
          <w:p w14:paraId="64367094"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Categorías de Desempeño</w:t>
            </w:r>
          </w:p>
        </w:tc>
        <w:tc>
          <w:tcPr>
            <w:tcW w:w="0" w:type="auto"/>
            <w:shd w:val="clear" w:color="auto" w:fill="0070C0"/>
            <w:vAlign w:val="center"/>
            <w:hideMark/>
          </w:tcPr>
          <w:p w14:paraId="1789D7E7"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Objetivos de Desempeño</w:t>
            </w:r>
          </w:p>
        </w:tc>
        <w:tc>
          <w:tcPr>
            <w:tcW w:w="0" w:type="auto"/>
            <w:shd w:val="clear" w:color="auto" w:fill="0070C0"/>
            <w:vAlign w:val="center"/>
            <w:hideMark/>
          </w:tcPr>
          <w:p w14:paraId="1E2C6F3E"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Medidas de Desempeño</w:t>
            </w:r>
          </w:p>
        </w:tc>
        <w:tc>
          <w:tcPr>
            <w:tcW w:w="0" w:type="auto"/>
            <w:shd w:val="clear" w:color="auto" w:fill="0070C0"/>
            <w:vAlign w:val="center"/>
            <w:hideMark/>
          </w:tcPr>
          <w:p w14:paraId="29B46B73"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Fórmula de Medición</w:t>
            </w:r>
          </w:p>
        </w:tc>
        <w:tc>
          <w:tcPr>
            <w:tcW w:w="0" w:type="auto"/>
            <w:shd w:val="clear" w:color="auto" w:fill="0070C0"/>
            <w:vAlign w:val="center"/>
            <w:hideMark/>
          </w:tcPr>
          <w:p w14:paraId="098AF106"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Metas de Desempeño</w:t>
            </w:r>
          </w:p>
        </w:tc>
        <w:tc>
          <w:tcPr>
            <w:tcW w:w="0" w:type="auto"/>
            <w:shd w:val="clear" w:color="auto" w:fill="0070C0"/>
            <w:vAlign w:val="center"/>
            <w:hideMark/>
          </w:tcPr>
          <w:p w14:paraId="324D2947" w14:textId="77777777" w:rsidR="004E1F29" w:rsidRPr="004E1F29" w:rsidRDefault="004E1F29" w:rsidP="004E1F29">
            <w:pPr>
              <w:spacing w:before="100" w:beforeAutospacing="1" w:after="100" w:afterAutospacing="1" w:line="240" w:lineRule="auto"/>
              <w:jc w:val="center"/>
              <w:rPr>
                <w:rFonts w:ascii="Arial" w:eastAsia="Times New Roman" w:hAnsi="Arial" w:cs="Arial"/>
                <w:color w:val="FFFFFF" w:themeColor="background1"/>
                <w:sz w:val="18"/>
                <w:szCs w:val="18"/>
                <w:lang w:eastAsia="es-CL"/>
              </w:rPr>
            </w:pPr>
            <w:r w:rsidRPr="004E1F29">
              <w:rPr>
                <w:rFonts w:ascii="Arial" w:eastAsia="Times New Roman" w:hAnsi="Arial" w:cs="Arial"/>
                <w:color w:val="FFFFFF" w:themeColor="background1"/>
                <w:sz w:val="18"/>
                <w:szCs w:val="18"/>
                <w:lang w:eastAsia="es-CL"/>
              </w:rPr>
              <w:t>Frecuencia de Medición</w:t>
            </w:r>
          </w:p>
        </w:tc>
      </w:tr>
      <w:tr w:rsidR="004E1F29" w:rsidRPr="004E1F29" w14:paraId="39B27604" w14:textId="77777777" w:rsidTr="004E1F29">
        <w:trPr>
          <w:tblCellSpacing w:w="15" w:type="dxa"/>
        </w:trPr>
        <w:tc>
          <w:tcPr>
            <w:tcW w:w="0" w:type="auto"/>
            <w:vAlign w:val="center"/>
            <w:hideMark/>
          </w:tcPr>
          <w:p w14:paraId="7CEA68F3" w14:textId="77777777" w:rsidR="004E1F29" w:rsidRPr="004E1F29" w:rsidRDefault="004E1F29"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Alcance de la cobertura de conclusiones de la organización o de la unidad de negocios</w:t>
            </w:r>
          </w:p>
        </w:tc>
        <w:tc>
          <w:tcPr>
            <w:tcW w:w="0" w:type="auto"/>
            <w:vAlign w:val="center"/>
            <w:hideMark/>
          </w:tcPr>
          <w:p w14:paraId="47C933FA" w14:textId="77777777" w:rsidR="004E1F29" w:rsidRPr="004E1F29" w:rsidRDefault="004E1F29"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Implementación de salvaguardas en auditoría</w:t>
            </w:r>
          </w:p>
        </w:tc>
        <w:tc>
          <w:tcPr>
            <w:tcW w:w="0" w:type="auto"/>
            <w:vAlign w:val="center"/>
            <w:hideMark/>
          </w:tcPr>
          <w:p w14:paraId="0CDBE7D9" w14:textId="77777777" w:rsidR="004E1F29" w:rsidRPr="004E1F29" w:rsidRDefault="004E1F29" w:rsidP="004E1F29">
            <w:pPr>
              <w:spacing w:before="100" w:beforeAutospacing="1" w:after="100" w:afterAutospacing="1" w:line="240" w:lineRule="auto"/>
              <w:jc w:val="both"/>
              <w:rPr>
                <w:rFonts w:ascii="Arial" w:eastAsia="Times New Roman" w:hAnsi="Arial" w:cs="Arial"/>
                <w:sz w:val="18"/>
                <w:szCs w:val="18"/>
                <w:lang w:eastAsia="es-CL"/>
              </w:rPr>
            </w:pPr>
            <w:proofErr w:type="gramStart"/>
            <w:r w:rsidRPr="004E1F29">
              <w:rPr>
                <w:rFonts w:ascii="Arial" w:eastAsia="Times New Roman" w:hAnsi="Arial" w:cs="Arial"/>
                <w:sz w:val="18"/>
                <w:szCs w:val="18"/>
                <w:lang w:eastAsia="es-CL"/>
              </w:rPr>
              <w:t>Asegurar</w:t>
            </w:r>
            <w:proofErr w:type="gramEnd"/>
            <w:r w:rsidRPr="004E1F29">
              <w:rPr>
                <w:rFonts w:ascii="Arial" w:eastAsia="Times New Roman" w:hAnsi="Arial" w:cs="Arial"/>
                <w:sz w:val="18"/>
                <w:szCs w:val="18"/>
                <w:lang w:eastAsia="es-CL"/>
              </w:rPr>
              <w:t xml:space="preserve"> que los trabajos de auditoría cuenten con medidas de mitigación de amenazas a la objetividad</w:t>
            </w:r>
          </w:p>
        </w:tc>
        <w:tc>
          <w:tcPr>
            <w:tcW w:w="0" w:type="auto"/>
            <w:vAlign w:val="center"/>
            <w:hideMark/>
          </w:tcPr>
          <w:p w14:paraId="6B5A2421" w14:textId="77777777" w:rsidR="004E1F29" w:rsidRPr="004E1F29" w:rsidRDefault="004E1F29"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Porcentaje de auditorías con salvaguardas implementadas</w:t>
            </w:r>
          </w:p>
        </w:tc>
        <w:tc>
          <w:tcPr>
            <w:tcW w:w="0" w:type="auto"/>
            <w:vAlign w:val="center"/>
            <w:hideMark/>
          </w:tcPr>
          <w:p w14:paraId="7C28FDF2" w14:textId="77777777" w:rsidR="004E1F29" w:rsidRPr="004E1F29" w:rsidRDefault="004E1F29"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w:t>
            </w:r>
            <w:proofErr w:type="spellStart"/>
            <w:r w:rsidRPr="004E1F29">
              <w:rPr>
                <w:rFonts w:ascii="Arial" w:eastAsia="Times New Roman" w:hAnsi="Arial" w:cs="Arial"/>
                <w:sz w:val="18"/>
                <w:szCs w:val="18"/>
                <w:lang w:eastAsia="es-CL"/>
              </w:rPr>
              <w:t>Nº</w:t>
            </w:r>
            <w:proofErr w:type="spellEnd"/>
            <w:r w:rsidRPr="004E1F29">
              <w:rPr>
                <w:rFonts w:ascii="Arial" w:eastAsia="Times New Roman" w:hAnsi="Arial" w:cs="Arial"/>
                <w:sz w:val="18"/>
                <w:szCs w:val="18"/>
                <w:lang w:eastAsia="es-CL"/>
              </w:rPr>
              <w:t xml:space="preserve"> de auditorías con salvaguardas implementadas / Total de auditorías realizadas) × 100</w:t>
            </w:r>
          </w:p>
        </w:tc>
        <w:tc>
          <w:tcPr>
            <w:tcW w:w="0" w:type="auto"/>
            <w:vAlign w:val="center"/>
            <w:hideMark/>
          </w:tcPr>
          <w:p w14:paraId="4BA325C6" w14:textId="77777777" w:rsidR="004E1F29" w:rsidRPr="004E1F29" w:rsidRDefault="004E1F29" w:rsidP="004E1F29">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 90%</w:t>
            </w:r>
          </w:p>
        </w:tc>
        <w:tc>
          <w:tcPr>
            <w:tcW w:w="0" w:type="auto"/>
            <w:vAlign w:val="center"/>
            <w:hideMark/>
          </w:tcPr>
          <w:p w14:paraId="4CECF652" w14:textId="77777777" w:rsidR="004E1F29" w:rsidRPr="004E1F29" w:rsidRDefault="004E1F29" w:rsidP="004E1F29">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Anual</w:t>
            </w:r>
          </w:p>
        </w:tc>
      </w:tr>
      <w:tr w:rsidR="0097575E" w:rsidRPr="004E1F29" w14:paraId="24680017" w14:textId="77777777" w:rsidTr="004E1F29">
        <w:trPr>
          <w:tblCellSpacing w:w="15" w:type="dxa"/>
        </w:trPr>
        <w:tc>
          <w:tcPr>
            <w:tcW w:w="0" w:type="auto"/>
            <w:vMerge w:val="restart"/>
            <w:vAlign w:val="center"/>
            <w:hideMark/>
          </w:tcPr>
          <w:p w14:paraId="0E664335" w14:textId="77777777"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Expectativas de los grupos de interés</w:t>
            </w:r>
          </w:p>
        </w:tc>
        <w:tc>
          <w:tcPr>
            <w:tcW w:w="0" w:type="auto"/>
            <w:vAlign w:val="center"/>
            <w:hideMark/>
          </w:tcPr>
          <w:p w14:paraId="042D143C" w14:textId="77777777"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Gestión adecuada de conflictos de interés</w:t>
            </w:r>
          </w:p>
        </w:tc>
        <w:tc>
          <w:tcPr>
            <w:tcW w:w="0" w:type="auto"/>
            <w:vAlign w:val="center"/>
            <w:hideMark/>
          </w:tcPr>
          <w:p w14:paraId="506DFC51" w14:textId="77777777"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Garantizar la correcta identificación y manejo de conflictos de interés en auditoría interna</w:t>
            </w:r>
          </w:p>
        </w:tc>
        <w:tc>
          <w:tcPr>
            <w:tcW w:w="0" w:type="auto"/>
            <w:vAlign w:val="center"/>
            <w:hideMark/>
          </w:tcPr>
          <w:p w14:paraId="267583F2" w14:textId="77777777"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Porcentaje de conflictos de intereses gestionados adecuadamente</w:t>
            </w:r>
          </w:p>
        </w:tc>
        <w:tc>
          <w:tcPr>
            <w:tcW w:w="0" w:type="auto"/>
            <w:vAlign w:val="center"/>
            <w:hideMark/>
          </w:tcPr>
          <w:p w14:paraId="0553B090" w14:textId="77777777"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w:t>
            </w:r>
            <w:proofErr w:type="spellStart"/>
            <w:r w:rsidRPr="004E1F29">
              <w:rPr>
                <w:rFonts w:ascii="Arial" w:eastAsia="Times New Roman" w:hAnsi="Arial" w:cs="Arial"/>
                <w:sz w:val="18"/>
                <w:szCs w:val="18"/>
                <w:lang w:eastAsia="es-CL"/>
              </w:rPr>
              <w:t>Nº</w:t>
            </w:r>
            <w:proofErr w:type="spellEnd"/>
            <w:r w:rsidRPr="004E1F29">
              <w:rPr>
                <w:rFonts w:ascii="Arial" w:eastAsia="Times New Roman" w:hAnsi="Arial" w:cs="Arial"/>
                <w:sz w:val="18"/>
                <w:szCs w:val="18"/>
                <w:lang w:eastAsia="es-CL"/>
              </w:rPr>
              <w:t xml:space="preserve"> de conflictos gestionados conforme al procedimiento / Total de conflictos identificados) × 100</w:t>
            </w:r>
          </w:p>
        </w:tc>
        <w:tc>
          <w:tcPr>
            <w:tcW w:w="0" w:type="auto"/>
            <w:vAlign w:val="center"/>
            <w:hideMark/>
          </w:tcPr>
          <w:p w14:paraId="76A92906" w14:textId="77777777" w:rsidR="0097575E" w:rsidRPr="004E1F29" w:rsidRDefault="0097575E" w:rsidP="004E1F29">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100%</w:t>
            </w:r>
          </w:p>
        </w:tc>
        <w:tc>
          <w:tcPr>
            <w:tcW w:w="0" w:type="auto"/>
            <w:vAlign w:val="center"/>
            <w:hideMark/>
          </w:tcPr>
          <w:p w14:paraId="5297CB88" w14:textId="77777777" w:rsidR="0097575E" w:rsidRPr="004E1F29" w:rsidRDefault="0097575E" w:rsidP="004E1F29">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Trimestral</w:t>
            </w:r>
          </w:p>
        </w:tc>
      </w:tr>
      <w:tr w:rsidR="0097575E" w:rsidRPr="004E1F29" w14:paraId="22881AED" w14:textId="77777777" w:rsidTr="004E1F29">
        <w:trPr>
          <w:tblCellSpacing w:w="15" w:type="dxa"/>
        </w:trPr>
        <w:tc>
          <w:tcPr>
            <w:tcW w:w="0" w:type="auto"/>
            <w:vMerge/>
            <w:vAlign w:val="center"/>
          </w:tcPr>
          <w:p w14:paraId="44D84A79" w14:textId="2892E07D"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tcPr>
          <w:p w14:paraId="38ADCED0" w14:textId="47B82E64"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Declaración oportuna de impedimentos</w:t>
            </w:r>
          </w:p>
        </w:tc>
        <w:tc>
          <w:tcPr>
            <w:tcW w:w="0" w:type="auto"/>
            <w:vAlign w:val="center"/>
          </w:tcPr>
          <w:p w14:paraId="7EE3C6A5" w14:textId="7FD89D06"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proofErr w:type="gramStart"/>
            <w:r w:rsidRPr="004E1F29">
              <w:rPr>
                <w:rFonts w:ascii="Arial" w:eastAsia="Times New Roman" w:hAnsi="Arial" w:cs="Arial"/>
                <w:sz w:val="18"/>
                <w:szCs w:val="18"/>
                <w:lang w:eastAsia="es-CL"/>
              </w:rPr>
              <w:t>Asegurar</w:t>
            </w:r>
            <w:proofErr w:type="gramEnd"/>
            <w:r w:rsidRPr="004E1F29">
              <w:rPr>
                <w:rFonts w:ascii="Arial" w:eastAsia="Times New Roman" w:hAnsi="Arial" w:cs="Arial"/>
                <w:sz w:val="18"/>
                <w:szCs w:val="18"/>
                <w:lang w:eastAsia="es-CL"/>
              </w:rPr>
              <w:t xml:space="preserve"> que los auditores internos declaren oportunamente sus impedimentos</w:t>
            </w:r>
          </w:p>
        </w:tc>
        <w:tc>
          <w:tcPr>
            <w:tcW w:w="0" w:type="auto"/>
            <w:vAlign w:val="center"/>
          </w:tcPr>
          <w:p w14:paraId="034893EB" w14:textId="340CE232"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Porcentaje de declaraciones de impedimentos realizadas oportunamente</w:t>
            </w:r>
          </w:p>
        </w:tc>
        <w:tc>
          <w:tcPr>
            <w:tcW w:w="0" w:type="auto"/>
            <w:vAlign w:val="center"/>
          </w:tcPr>
          <w:p w14:paraId="125F481C" w14:textId="6D4E6B1B" w:rsidR="0097575E" w:rsidRPr="004E1F29" w:rsidRDefault="0097575E" w:rsidP="004E1F29">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w:t>
            </w:r>
            <w:proofErr w:type="spellStart"/>
            <w:r w:rsidRPr="004E1F29">
              <w:rPr>
                <w:rFonts w:ascii="Arial" w:eastAsia="Times New Roman" w:hAnsi="Arial" w:cs="Arial"/>
                <w:sz w:val="18"/>
                <w:szCs w:val="18"/>
                <w:lang w:eastAsia="es-CL"/>
              </w:rPr>
              <w:t>Nº</w:t>
            </w:r>
            <w:proofErr w:type="spellEnd"/>
            <w:r w:rsidRPr="004E1F29">
              <w:rPr>
                <w:rFonts w:ascii="Arial" w:eastAsia="Times New Roman" w:hAnsi="Arial" w:cs="Arial"/>
                <w:sz w:val="18"/>
                <w:szCs w:val="18"/>
                <w:lang w:eastAsia="es-CL"/>
              </w:rPr>
              <w:t xml:space="preserve"> de declaraciones realizadas dentro del plazo / Total de declaraciones requeridas) × 100</w:t>
            </w:r>
          </w:p>
        </w:tc>
        <w:tc>
          <w:tcPr>
            <w:tcW w:w="0" w:type="auto"/>
            <w:vAlign w:val="center"/>
          </w:tcPr>
          <w:p w14:paraId="6C5E1451" w14:textId="746FEDEE" w:rsidR="0097575E" w:rsidRPr="004E1F29" w:rsidRDefault="0097575E" w:rsidP="004E1F29">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 95%</w:t>
            </w:r>
          </w:p>
        </w:tc>
        <w:tc>
          <w:tcPr>
            <w:tcW w:w="0" w:type="auto"/>
            <w:vAlign w:val="center"/>
          </w:tcPr>
          <w:p w14:paraId="703E5678" w14:textId="0507BEDF" w:rsidR="0097575E" w:rsidRPr="004E1F29" w:rsidRDefault="0097575E" w:rsidP="004E1F29">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Semestral</w:t>
            </w:r>
          </w:p>
        </w:tc>
      </w:tr>
      <w:tr w:rsidR="0097575E" w:rsidRPr="004E1F29" w14:paraId="00C63978" w14:textId="77777777" w:rsidTr="004E1F29">
        <w:trPr>
          <w:tblCellSpacing w:w="15" w:type="dxa"/>
        </w:trPr>
        <w:tc>
          <w:tcPr>
            <w:tcW w:w="0" w:type="auto"/>
            <w:vMerge/>
            <w:vAlign w:val="center"/>
          </w:tcPr>
          <w:p w14:paraId="4E2A51E9" w14:textId="25BADE40"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tcPr>
          <w:p w14:paraId="48953F1F" w14:textId="2E8684FC"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Escalamiento de impedimentos críticos</w:t>
            </w:r>
          </w:p>
        </w:tc>
        <w:tc>
          <w:tcPr>
            <w:tcW w:w="0" w:type="auto"/>
            <w:vAlign w:val="center"/>
          </w:tcPr>
          <w:p w14:paraId="20A35C2F" w14:textId="79A88EFC"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Garantizar que los impedimentos críticos sean gestionados por el nivel adecuado</w:t>
            </w:r>
          </w:p>
        </w:tc>
        <w:tc>
          <w:tcPr>
            <w:tcW w:w="0" w:type="auto"/>
            <w:vAlign w:val="center"/>
          </w:tcPr>
          <w:p w14:paraId="36143B56" w14:textId="528258C6"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Porcentaje de impedimentos críticos escalados al Jefe de Servicio</w:t>
            </w:r>
          </w:p>
        </w:tc>
        <w:tc>
          <w:tcPr>
            <w:tcW w:w="0" w:type="auto"/>
            <w:vAlign w:val="center"/>
          </w:tcPr>
          <w:p w14:paraId="413517ED" w14:textId="6D948E40"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w:t>
            </w:r>
            <w:proofErr w:type="spellStart"/>
            <w:r w:rsidRPr="004E1F29">
              <w:rPr>
                <w:rFonts w:ascii="Arial" w:eastAsia="Times New Roman" w:hAnsi="Arial" w:cs="Arial"/>
                <w:sz w:val="18"/>
                <w:szCs w:val="18"/>
                <w:lang w:eastAsia="es-CL"/>
              </w:rPr>
              <w:t>Nº</w:t>
            </w:r>
            <w:proofErr w:type="spellEnd"/>
            <w:r w:rsidRPr="004E1F29">
              <w:rPr>
                <w:rFonts w:ascii="Arial" w:eastAsia="Times New Roman" w:hAnsi="Arial" w:cs="Arial"/>
                <w:sz w:val="18"/>
                <w:szCs w:val="18"/>
                <w:lang w:eastAsia="es-CL"/>
              </w:rPr>
              <w:t xml:space="preserve"> de impedimentos críticos escalados / Total de impedimentos críticos identificados) × 100</w:t>
            </w:r>
          </w:p>
        </w:tc>
        <w:tc>
          <w:tcPr>
            <w:tcW w:w="0" w:type="auto"/>
            <w:vAlign w:val="center"/>
          </w:tcPr>
          <w:p w14:paraId="2CE3B617" w14:textId="772223C9"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100%</w:t>
            </w:r>
          </w:p>
        </w:tc>
        <w:tc>
          <w:tcPr>
            <w:tcW w:w="0" w:type="auto"/>
            <w:vAlign w:val="center"/>
          </w:tcPr>
          <w:p w14:paraId="36CD65C6" w14:textId="73C3BDA4"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Trimestral</w:t>
            </w:r>
          </w:p>
        </w:tc>
      </w:tr>
      <w:tr w:rsidR="0097575E" w:rsidRPr="004E1F29" w14:paraId="044B2E6B" w14:textId="77777777" w:rsidTr="004E1F29">
        <w:trPr>
          <w:tblCellSpacing w:w="15" w:type="dxa"/>
        </w:trPr>
        <w:tc>
          <w:tcPr>
            <w:tcW w:w="0" w:type="auto"/>
            <w:vMerge/>
            <w:vAlign w:val="center"/>
          </w:tcPr>
          <w:p w14:paraId="4738730A" w14:textId="0CECF1A1"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tcPr>
          <w:p w14:paraId="5BA23048" w14:textId="222FB576"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Evaluación de la gestión de impedimentos</w:t>
            </w:r>
          </w:p>
        </w:tc>
        <w:tc>
          <w:tcPr>
            <w:tcW w:w="0" w:type="auto"/>
            <w:vAlign w:val="center"/>
          </w:tcPr>
          <w:p w14:paraId="78231857" w14:textId="1B512CF0"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 xml:space="preserve">Medir la percepción de los </w:t>
            </w:r>
            <w:proofErr w:type="spellStart"/>
            <w:r w:rsidRPr="004E1F29">
              <w:rPr>
                <w:rFonts w:ascii="Arial" w:eastAsia="Times New Roman" w:hAnsi="Arial" w:cs="Arial"/>
                <w:sz w:val="18"/>
                <w:szCs w:val="18"/>
                <w:lang w:eastAsia="es-CL"/>
              </w:rPr>
              <w:t>stakeholders</w:t>
            </w:r>
            <w:proofErr w:type="spellEnd"/>
            <w:r w:rsidRPr="004E1F29">
              <w:rPr>
                <w:rFonts w:ascii="Arial" w:eastAsia="Times New Roman" w:hAnsi="Arial" w:cs="Arial"/>
                <w:sz w:val="18"/>
                <w:szCs w:val="18"/>
                <w:lang w:eastAsia="es-CL"/>
              </w:rPr>
              <w:t xml:space="preserve"> sobre la gestión de impedimentos en auditoría interna</w:t>
            </w:r>
          </w:p>
        </w:tc>
        <w:tc>
          <w:tcPr>
            <w:tcW w:w="0" w:type="auto"/>
            <w:vAlign w:val="center"/>
          </w:tcPr>
          <w:p w14:paraId="7569A7CE" w14:textId="1435A817"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Nivel de satisfacción de las partes interesadas sobre la gestión de impedimentos</w:t>
            </w:r>
          </w:p>
        </w:tc>
        <w:tc>
          <w:tcPr>
            <w:tcW w:w="0" w:type="auto"/>
            <w:vAlign w:val="center"/>
          </w:tcPr>
          <w:p w14:paraId="715780BF" w14:textId="697E36F8"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(Total de puntuaciones obtenidas / Puntuación máxima posible) × 100</w:t>
            </w:r>
          </w:p>
        </w:tc>
        <w:tc>
          <w:tcPr>
            <w:tcW w:w="0" w:type="auto"/>
            <w:vAlign w:val="center"/>
          </w:tcPr>
          <w:p w14:paraId="44F3036B" w14:textId="2A0FC646"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 85%</w:t>
            </w:r>
          </w:p>
        </w:tc>
        <w:tc>
          <w:tcPr>
            <w:tcW w:w="0" w:type="auto"/>
            <w:vAlign w:val="center"/>
          </w:tcPr>
          <w:p w14:paraId="39D6E63B" w14:textId="3A3640C6"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Anual</w:t>
            </w:r>
          </w:p>
        </w:tc>
      </w:tr>
      <w:tr w:rsidR="0097575E" w:rsidRPr="004E1F29" w14:paraId="00971F09" w14:textId="77777777" w:rsidTr="004E1F29">
        <w:trPr>
          <w:tblCellSpacing w:w="15" w:type="dxa"/>
        </w:trPr>
        <w:tc>
          <w:tcPr>
            <w:tcW w:w="0" w:type="auto"/>
            <w:vMerge w:val="restart"/>
            <w:vAlign w:val="center"/>
          </w:tcPr>
          <w:p w14:paraId="7DA16270" w14:textId="3CE83000"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Eficiencia financiera y operativa</w:t>
            </w:r>
          </w:p>
        </w:tc>
        <w:tc>
          <w:tcPr>
            <w:tcW w:w="0" w:type="auto"/>
            <w:vAlign w:val="center"/>
          </w:tcPr>
          <w:p w14:paraId="334A5900" w14:textId="328645B8"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Supervisión formal para garantizar la objetividad</w:t>
            </w:r>
          </w:p>
        </w:tc>
        <w:tc>
          <w:tcPr>
            <w:tcW w:w="0" w:type="auto"/>
            <w:vAlign w:val="center"/>
          </w:tcPr>
          <w:p w14:paraId="464527A5" w14:textId="642D75E3"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proofErr w:type="gramStart"/>
            <w:r w:rsidRPr="004E1F29">
              <w:rPr>
                <w:rFonts w:ascii="Arial" w:eastAsia="Times New Roman" w:hAnsi="Arial" w:cs="Arial"/>
                <w:sz w:val="18"/>
                <w:szCs w:val="18"/>
                <w:lang w:eastAsia="es-CL"/>
              </w:rPr>
              <w:t>Asegurar</w:t>
            </w:r>
            <w:proofErr w:type="gramEnd"/>
            <w:r w:rsidRPr="004E1F29">
              <w:rPr>
                <w:rFonts w:ascii="Arial" w:eastAsia="Times New Roman" w:hAnsi="Arial" w:cs="Arial"/>
                <w:sz w:val="18"/>
                <w:szCs w:val="18"/>
                <w:lang w:eastAsia="es-CL"/>
              </w:rPr>
              <w:t xml:space="preserve"> que los trabajos de auditoría sean revisados y supervisados formalmente</w:t>
            </w:r>
          </w:p>
        </w:tc>
        <w:tc>
          <w:tcPr>
            <w:tcW w:w="0" w:type="auto"/>
            <w:vAlign w:val="center"/>
          </w:tcPr>
          <w:p w14:paraId="660ECC31" w14:textId="3F1081B2"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Porcentaje de revisiones supervisadas para garantizar la objetividad</w:t>
            </w:r>
          </w:p>
        </w:tc>
        <w:tc>
          <w:tcPr>
            <w:tcW w:w="0" w:type="auto"/>
            <w:vAlign w:val="center"/>
          </w:tcPr>
          <w:p w14:paraId="60BC592D" w14:textId="774C69A5"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w:t>
            </w:r>
            <w:proofErr w:type="spellStart"/>
            <w:r w:rsidRPr="004E1F29">
              <w:rPr>
                <w:rFonts w:ascii="Arial" w:eastAsia="Times New Roman" w:hAnsi="Arial" w:cs="Arial"/>
                <w:sz w:val="18"/>
                <w:szCs w:val="18"/>
                <w:lang w:eastAsia="es-CL"/>
              </w:rPr>
              <w:t>Nº</w:t>
            </w:r>
            <w:proofErr w:type="spellEnd"/>
            <w:r w:rsidRPr="004E1F29">
              <w:rPr>
                <w:rFonts w:ascii="Arial" w:eastAsia="Times New Roman" w:hAnsi="Arial" w:cs="Arial"/>
                <w:sz w:val="18"/>
                <w:szCs w:val="18"/>
                <w:lang w:eastAsia="es-CL"/>
              </w:rPr>
              <w:t xml:space="preserve"> de trabajos revisados por supervisores / Total de trabajos realizados) × 100</w:t>
            </w:r>
          </w:p>
        </w:tc>
        <w:tc>
          <w:tcPr>
            <w:tcW w:w="0" w:type="auto"/>
            <w:vAlign w:val="center"/>
          </w:tcPr>
          <w:p w14:paraId="34B60A56" w14:textId="497DD2EE"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 95%</w:t>
            </w:r>
          </w:p>
        </w:tc>
        <w:tc>
          <w:tcPr>
            <w:tcW w:w="0" w:type="auto"/>
            <w:vAlign w:val="center"/>
          </w:tcPr>
          <w:p w14:paraId="46B749CD" w14:textId="7B11D531"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Anual</w:t>
            </w:r>
          </w:p>
        </w:tc>
      </w:tr>
      <w:tr w:rsidR="0097575E" w:rsidRPr="004E1F29" w14:paraId="77FAD5AD" w14:textId="77777777" w:rsidTr="0097575E">
        <w:trPr>
          <w:tblCellSpacing w:w="15" w:type="dxa"/>
        </w:trPr>
        <w:tc>
          <w:tcPr>
            <w:tcW w:w="0" w:type="auto"/>
            <w:vMerge/>
            <w:vAlign w:val="center"/>
          </w:tcPr>
          <w:p w14:paraId="5A7DCE23" w14:textId="7DD014BB"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p>
        </w:tc>
        <w:tc>
          <w:tcPr>
            <w:tcW w:w="0" w:type="auto"/>
            <w:vAlign w:val="center"/>
          </w:tcPr>
          <w:p w14:paraId="2759FEF7" w14:textId="57070972"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Resolución eficiente de impedimentos en auditoría interna</w:t>
            </w:r>
          </w:p>
        </w:tc>
        <w:tc>
          <w:tcPr>
            <w:tcW w:w="0" w:type="auto"/>
            <w:vAlign w:val="center"/>
          </w:tcPr>
          <w:p w14:paraId="429712F0" w14:textId="44023228"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Minimizar el tiempo necesario para gestionar y resolver impedimentos declarados</w:t>
            </w:r>
          </w:p>
        </w:tc>
        <w:tc>
          <w:tcPr>
            <w:tcW w:w="0" w:type="auto"/>
            <w:vAlign w:val="center"/>
          </w:tcPr>
          <w:p w14:paraId="38BE466C" w14:textId="234AF6E9"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Tiempo promedio de resolución de impedimentos declarados</w:t>
            </w:r>
          </w:p>
        </w:tc>
        <w:tc>
          <w:tcPr>
            <w:tcW w:w="0" w:type="auto"/>
            <w:vAlign w:val="center"/>
          </w:tcPr>
          <w:p w14:paraId="76A070C7" w14:textId="0DEEFBF9"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(Suma de tiempos para resolver los impedimentos declarados / Total de impedimentos declarados)</w:t>
            </w:r>
          </w:p>
        </w:tc>
        <w:tc>
          <w:tcPr>
            <w:tcW w:w="0" w:type="auto"/>
            <w:vAlign w:val="center"/>
          </w:tcPr>
          <w:p w14:paraId="04137071" w14:textId="24454332"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 10 días hábiles</w:t>
            </w:r>
          </w:p>
        </w:tc>
        <w:tc>
          <w:tcPr>
            <w:tcW w:w="0" w:type="auto"/>
            <w:vAlign w:val="center"/>
          </w:tcPr>
          <w:p w14:paraId="78CD531F" w14:textId="102F9070"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Trimestral</w:t>
            </w:r>
          </w:p>
        </w:tc>
      </w:tr>
      <w:tr w:rsidR="0097575E" w:rsidRPr="004E1F29" w14:paraId="0BE58962" w14:textId="77777777" w:rsidTr="004E1F29">
        <w:trPr>
          <w:tblCellSpacing w:w="15" w:type="dxa"/>
        </w:trPr>
        <w:tc>
          <w:tcPr>
            <w:tcW w:w="0" w:type="auto"/>
            <w:vAlign w:val="center"/>
          </w:tcPr>
          <w:p w14:paraId="6CE45325" w14:textId="087CE6F5"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Necesidades de recursos humanos</w:t>
            </w:r>
          </w:p>
        </w:tc>
        <w:tc>
          <w:tcPr>
            <w:tcW w:w="0" w:type="auto"/>
            <w:vAlign w:val="center"/>
          </w:tcPr>
          <w:p w14:paraId="0E5691AE" w14:textId="3AB4F8EE"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Capacitación en identificación de amenazas a la objetividad</w:t>
            </w:r>
          </w:p>
        </w:tc>
        <w:tc>
          <w:tcPr>
            <w:tcW w:w="0" w:type="auto"/>
            <w:vAlign w:val="center"/>
          </w:tcPr>
          <w:p w14:paraId="2A1F6E98" w14:textId="4BBE9794"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proofErr w:type="gramStart"/>
            <w:r w:rsidRPr="004E1F29">
              <w:rPr>
                <w:rFonts w:ascii="Arial" w:eastAsia="Times New Roman" w:hAnsi="Arial" w:cs="Arial"/>
                <w:sz w:val="18"/>
                <w:szCs w:val="18"/>
                <w:lang w:eastAsia="es-CL"/>
              </w:rPr>
              <w:t>Asegurar</w:t>
            </w:r>
            <w:proofErr w:type="gramEnd"/>
            <w:r w:rsidRPr="004E1F29">
              <w:rPr>
                <w:rFonts w:ascii="Arial" w:eastAsia="Times New Roman" w:hAnsi="Arial" w:cs="Arial"/>
                <w:sz w:val="18"/>
                <w:szCs w:val="18"/>
                <w:lang w:eastAsia="es-CL"/>
              </w:rPr>
              <w:t xml:space="preserve"> que los auditores internos cuenten con formación para mitigar amenazas a la objetividad</w:t>
            </w:r>
          </w:p>
        </w:tc>
        <w:tc>
          <w:tcPr>
            <w:tcW w:w="0" w:type="auto"/>
            <w:vAlign w:val="center"/>
          </w:tcPr>
          <w:p w14:paraId="12E28168" w14:textId="69C9EFCA"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Porcentaje de capacitación en identificación de amenazas a la objetividad completada por los auditores internos</w:t>
            </w:r>
          </w:p>
        </w:tc>
        <w:tc>
          <w:tcPr>
            <w:tcW w:w="0" w:type="auto"/>
            <w:vAlign w:val="center"/>
          </w:tcPr>
          <w:p w14:paraId="168B3180" w14:textId="03010F39" w:rsidR="0097575E" w:rsidRPr="004E1F29" w:rsidRDefault="0097575E" w:rsidP="0097575E">
            <w:pPr>
              <w:spacing w:before="100" w:beforeAutospacing="1" w:after="100" w:afterAutospacing="1" w:line="240" w:lineRule="auto"/>
              <w:jc w:val="both"/>
              <w:rPr>
                <w:rFonts w:ascii="Arial" w:eastAsia="Times New Roman" w:hAnsi="Arial" w:cs="Arial"/>
                <w:sz w:val="18"/>
                <w:szCs w:val="18"/>
                <w:lang w:eastAsia="es-CL"/>
              </w:rPr>
            </w:pPr>
            <w:r w:rsidRPr="004E1F29">
              <w:rPr>
                <w:rFonts w:ascii="Arial" w:eastAsia="Times New Roman" w:hAnsi="Arial" w:cs="Arial"/>
                <w:sz w:val="18"/>
                <w:szCs w:val="18"/>
                <w:lang w:eastAsia="es-CL"/>
              </w:rPr>
              <w:t>(</w:t>
            </w:r>
            <w:proofErr w:type="spellStart"/>
            <w:r w:rsidRPr="004E1F29">
              <w:rPr>
                <w:rFonts w:ascii="Arial" w:eastAsia="Times New Roman" w:hAnsi="Arial" w:cs="Arial"/>
                <w:sz w:val="18"/>
                <w:szCs w:val="18"/>
                <w:lang w:eastAsia="es-CL"/>
              </w:rPr>
              <w:t>Nº</w:t>
            </w:r>
            <w:proofErr w:type="spellEnd"/>
            <w:r w:rsidRPr="004E1F29">
              <w:rPr>
                <w:rFonts w:ascii="Arial" w:eastAsia="Times New Roman" w:hAnsi="Arial" w:cs="Arial"/>
                <w:sz w:val="18"/>
                <w:szCs w:val="18"/>
                <w:lang w:eastAsia="es-CL"/>
              </w:rPr>
              <w:t xml:space="preserve"> de auditores capacitados / Total de auditores) × 100</w:t>
            </w:r>
          </w:p>
        </w:tc>
        <w:tc>
          <w:tcPr>
            <w:tcW w:w="0" w:type="auto"/>
            <w:vAlign w:val="center"/>
          </w:tcPr>
          <w:p w14:paraId="74F6B03F" w14:textId="5AB1B454"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 90%</w:t>
            </w:r>
          </w:p>
        </w:tc>
        <w:tc>
          <w:tcPr>
            <w:tcW w:w="0" w:type="auto"/>
            <w:vAlign w:val="center"/>
          </w:tcPr>
          <w:p w14:paraId="36D45C4B" w14:textId="6E5FE450" w:rsidR="0097575E" w:rsidRPr="004E1F29" w:rsidRDefault="0097575E" w:rsidP="0097575E">
            <w:pPr>
              <w:spacing w:before="100" w:beforeAutospacing="1" w:after="100" w:afterAutospacing="1" w:line="240" w:lineRule="auto"/>
              <w:jc w:val="center"/>
              <w:rPr>
                <w:rFonts w:ascii="Arial" w:eastAsia="Times New Roman" w:hAnsi="Arial" w:cs="Arial"/>
                <w:sz w:val="18"/>
                <w:szCs w:val="18"/>
                <w:lang w:eastAsia="es-CL"/>
              </w:rPr>
            </w:pPr>
            <w:r w:rsidRPr="004E1F29">
              <w:rPr>
                <w:rFonts w:ascii="Arial" w:eastAsia="Times New Roman" w:hAnsi="Arial" w:cs="Arial"/>
                <w:sz w:val="18"/>
                <w:szCs w:val="18"/>
                <w:lang w:eastAsia="es-CL"/>
              </w:rPr>
              <w:t>Anual</w:t>
            </w:r>
          </w:p>
        </w:tc>
      </w:tr>
    </w:tbl>
    <w:p w14:paraId="3292BE0E" w14:textId="77777777" w:rsidR="00544F91" w:rsidRDefault="00544F91" w:rsidP="00544F91">
      <w:pPr>
        <w:spacing w:before="100" w:beforeAutospacing="1" w:after="100" w:afterAutospacing="1" w:line="240" w:lineRule="auto"/>
        <w:jc w:val="both"/>
        <w:rPr>
          <w:rFonts w:ascii="Arial" w:eastAsia="Times New Roman" w:hAnsi="Arial" w:cs="Arial"/>
          <w:color w:val="C00000"/>
          <w:lang w:eastAsia="es-CL"/>
        </w:rPr>
      </w:pPr>
    </w:p>
    <w:p w14:paraId="7404B968" w14:textId="77777777" w:rsidR="00544F91" w:rsidRPr="004C7BFD" w:rsidRDefault="00544F91" w:rsidP="00544F91">
      <w:pPr>
        <w:spacing w:before="100" w:beforeAutospacing="1" w:after="100" w:afterAutospacing="1" w:line="240" w:lineRule="auto"/>
        <w:jc w:val="both"/>
        <w:rPr>
          <w:rFonts w:ascii="Arial" w:eastAsia="Times New Roman" w:hAnsi="Arial" w:cs="Arial"/>
          <w:vanish/>
          <w:lang w:eastAsia="es-CL"/>
        </w:rPr>
      </w:pPr>
    </w:p>
    <w:p w14:paraId="349C030D" w14:textId="77777777" w:rsidR="00EF3302" w:rsidRPr="00EF3302" w:rsidRDefault="00EF3302" w:rsidP="006B63BF">
      <w:pPr>
        <w:spacing w:before="100" w:beforeAutospacing="1" w:after="100" w:afterAutospacing="1" w:line="240" w:lineRule="auto"/>
        <w:jc w:val="both"/>
        <w:rPr>
          <w:rFonts w:ascii="Arial" w:eastAsia="Times New Roman" w:hAnsi="Arial" w:cs="Arial"/>
          <w:lang w:eastAsia="es-CL"/>
        </w:rPr>
      </w:pPr>
    </w:p>
    <w:p w14:paraId="3517A8E8" w14:textId="4C0107C9" w:rsidR="00E75A1F" w:rsidRPr="00CC54E7" w:rsidRDefault="008E5C9C" w:rsidP="008C03CE">
      <w:pPr>
        <w:spacing w:after="120"/>
        <w:jc w:val="both"/>
        <w:rPr>
          <w:rFonts w:ascii="Arial" w:hAnsi="Arial" w:cs="Arial"/>
          <w:b/>
          <w:bCs/>
          <w:color w:val="000000" w:themeColor="text1"/>
          <w:lang w:val="es-ES"/>
        </w:rPr>
      </w:pPr>
      <w:r w:rsidRPr="00CC54E7">
        <w:rPr>
          <w:rFonts w:ascii="Arial" w:hAnsi="Arial" w:cs="Arial"/>
          <w:b/>
          <w:bCs/>
          <w:lang w:val="es-ES"/>
        </w:rPr>
        <w:lastRenderedPageBreak/>
        <w:t>7</w:t>
      </w:r>
      <w:r w:rsidR="00271635" w:rsidRPr="00CC54E7">
        <w:rPr>
          <w:rFonts w:ascii="Arial" w:hAnsi="Arial" w:cs="Arial"/>
          <w:b/>
          <w:bCs/>
          <w:lang w:val="es-ES"/>
        </w:rPr>
        <w:t>. CONSIDERACIONES DE TELETRABAJO</w:t>
      </w:r>
    </w:p>
    <w:p w14:paraId="4973FC7D" w14:textId="6F0F32AA" w:rsidR="00E75A1F" w:rsidRPr="008C03CE" w:rsidRDefault="00E75A1F" w:rsidP="008C03CE">
      <w:pPr>
        <w:jc w:val="both"/>
        <w:rPr>
          <w:rFonts w:ascii="Arial" w:hAnsi="Arial" w:cs="Arial"/>
          <w:bCs/>
          <w:color w:val="000000" w:themeColor="text1"/>
          <w:lang w:val="es-ES"/>
        </w:rPr>
      </w:pPr>
      <w:r w:rsidRPr="008C03CE">
        <w:rPr>
          <w:rFonts w:ascii="Arial" w:hAnsi="Arial" w:cs="Arial"/>
          <w:bCs/>
          <w:color w:val="000000" w:themeColor="text1"/>
          <w:lang w:val="es-ES"/>
        </w:rPr>
        <w:t>En el caso de encontrase realizando el trabajo por vía virtual o teletrabajo, los formularios y actas deberán realizarse igualmente, pero su conformidad se otorgará por los medios telemáticos de que se disponga. En caso de no contar con firma electrónica, la conformidad se otorgará mediante un correo electrónico de aprobación y/o forma electrónica simple.</w:t>
      </w:r>
    </w:p>
    <w:p w14:paraId="0A2513AE" w14:textId="0137903F" w:rsidR="00E75A1F" w:rsidRPr="008C03CE" w:rsidRDefault="008E5C9C" w:rsidP="008C03CE">
      <w:pPr>
        <w:spacing w:after="120"/>
        <w:jc w:val="both"/>
        <w:rPr>
          <w:rFonts w:ascii="Arial" w:hAnsi="Arial" w:cs="Arial"/>
          <w:b/>
          <w:color w:val="000000" w:themeColor="text1"/>
          <w:lang w:val="es-ES"/>
        </w:rPr>
      </w:pPr>
      <w:r w:rsidRPr="008C03CE">
        <w:rPr>
          <w:rFonts w:ascii="Arial" w:hAnsi="Arial" w:cs="Arial"/>
          <w:b/>
          <w:bCs/>
          <w:color w:val="000000" w:themeColor="text1"/>
          <w:lang w:val="es-ES"/>
        </w:rPr>
        <w:t>8</w:t>
      </w:r>
      <w:r w:rsidR="00E75A1F" w:rsidRPr="008C03CE">
        <w:rPr>
          <w:rFonts w:ascii="Arial" w:hAnsi="Arial" w:cs="Arial"/>
          <w:b/>
          <w:bCs/>
          <w:color w:val="000000" w:themeColor="text1"/>
          <w:lang w:val="es-ES"/>
        </w:rPr>
        <w:t>. REGISTRO</w:t>
      </w:r>
    </w:p>
    <w:p w14:paraId="2874751F" w14:textId="4D80AE49" w:rsidR="008C03CE" w:rsidRPr="008C03CE" w:rsidRDefault="008C03CE" w:rsidP="008C03CE">
      <w:pPr>
        <w:pStyle w:val="NormalWeb"/>
        <w:jc w:val="both"/>
        <w:rPr>
          <w:rFonts w:ascii="Arial" w:hAnsi="Arial" w:cs="Arial"/>
          <w:sz w:val="22"/>
          <w:szCs w:val="22"/>
        </w:rPr>
      </w:pPr>
      <w:r w:rsidRPr="008C03CE">
        <w:rPr>
          <w:rFonts w:ascii="Arial" w:hAnsi="Arial" w:cs="Arial"/>
          <w:sz w:val="22"/>
          <w:szCs w:val="22"/>
        </w:rPr>
        <w:t>Los registros asociados a la implementación del incluirán las declaraciones de conflicto de intereses, actas de entrega del Código de Ética, registros de inducción y capacitaciones, documentos de planificación de auditoría, reportes de supervisión, así como cualquier otra evidencia documental que respalde la aplicación de las salvaguardas establecidas.</w:t>
      </w:r>
    </w:p>
    <w:p w14:paraId="16BDEFC5" w14:textId="77777777" w:rsidR="008C03CE" w:rsidRPr="005732A3" w:rsidRDefault="008C03CE" w:rsidP="005732A3">
      <w:pPr>
        <w:pStyle w:val="NormalWeb"/>
        <w:jc w:val="both"/>
        <w:rPr>
          <w:rFonts w:ascii="Arial" w:hAnsi="Arial" w:cs="Arial"/>
          <w:sz w:val="22"/>
          <w:szCs w:val="22"/>
        </w:rPr>
      </w:pPr>
      <w:r w:rsidRPr="008C03CE">
        <w:rPr>
          <w:rFonts w:ascii="Arial" w:hAnsi="Arial" w:cs="Arial"/>
          <w:sz w:val="22"/>
          <w:szCs w:val="22"/>
        </w:rPr>
        <w:t xml:space="preserve">Estos documentos serán almacenados en un sistema digital centralizado con acceso restringido y se conservarán por un período de </w:t>
      </w:r>
      <w:r w:rsidRPr="008C03CE">
        <w:rPr>
          <w:rStyle w:val="Strong"/>
          <w:rFonts w:ascii="Arial" w:hAnsi="Arial" w:cs="Arial"/>
          <w:sz w:val="22"/>
          <w:szCs w:val="22"/>
        </w:rPr>
        <w:t>XX</w:t>
      </w:r>
      <w:r w:rsidRPr="008C03CE">
        <w:rPr>
          <w:rFonts w:ascii="Arial" w:hAnsi="Arial" w:cs="Arial"/>
          <w:sz w:val="22"/>
          <w:szCs w:val="22"/>
        </w:rPr>
        <w:t xml:space="preserve"> años, tras lo cual serán remitidos al archivo general del Servicio, asegurando el cumplimiento de las normativas vigentes en materia de conservación y seguridad de la </w:t>
      </w:r>
      <w:r w:rsidRPr="005732A3">
        <w:rPr>
          <w:rFonts w:ascii="Arial" w:hAnsi="Arial" w:cs="Arial"/>
          <w:sz w:val="22"/>
          <w:szCs w:val="22"/>
        </w:rPr>
        <w:t>información.</w:t>
      </w:r>
    </w:p>
    <w:p w14:paraId="4F2FC45A" w14:textId="77777777" w:rsidR="007D5708" w:rsidRDefault="007D5708" w:rsidP="005732A3">
      <w:pPr>
        <w:spacing w:after="120"/>
        <w:jc w:val="both"/>
        <w:rPr>
          <w:rFonts w:ascii="Arial" w:hAnsi="Arial" w:cs="Arial"/>
        </w:rPr>
      </w:pPr>
      <w:r w:rsidRPr="007D5708">
        <w:rPr>
          <w:rFonts w:ascii="Arial" w:hAnsi="Arial" w:cs="Arial"/>
        </w:rPr>
        <w:t>En esta materia, es fundamental considerar la legislación y normativa, tanto general como específica, que regula la conservación, transferencia y eliminación de documentos en el Estado.</w:t>
      </w:r>
    </w:p>
    <w:p w14:paraId="3E1CFB17" w14:textId="1A65D1D6" w:rsidR="00E75A1F" w:rsidRPr="005732A3" w:rsidRDefault="008E5C9C" w:rsidP="005732A3">
      <w:pPr>
        <w:spacing w:after="120"/>
        <w:jc w:val="both"/>
        <w:rPr>
          <w:rFonts w:ascii="Arial" w:hAnsi="Arial" w:cs="Arial"/>
          <w:b/>
          <w:lang w:val="es-ES"/>
        </w:rPr>
      </w:pPr>
      <w:r w:rsidRPr="005732A3">
        <w:rPr>
          <w:rFonts w:ascii="Arial" w:hAnsi="Arial" w:cs="Arial"/>
          <w:b/>
          <w:bCs/>
          <w:lang w:val="es-ES"/>
        </w:rPr>
        <w:t>9</w:t>
      </w:r>
      <w:r w:rsidR="00E75A1F" w:rsidRPr="005732A3">
        <w:rPr>
          <w:rFonts w:ascii="Arial" w:hAnsi="Arial" w:cs="Arial"/>
          <w:b/>
          <w:bCs/>
          <w:lang w:val="es-ES"/>
        </w:rPr>
        <w:t>. LISTA DE DISTRIBUCIÓN</w:t>
      </w:r>
    </w:p>
    <w:p w14:paraId="2E0D6360" w14:textId="77777777" w:rsidR="00A4473B" w:rsidRPr="00A4473B" w:rsidRDefault="00A4473B" w:rsidP="00A4473B">
      <w:pPr>
        <w:spacing w:before="100" w:beforeAutospacing="1" w:after="100" w:afterAutospacing="1" w:line="240" w:lineRule="auto"/>
        <w:jc w:val="both"/>
        <w:rPr>
          <w:rFonts w:ascii="Arial" w:eastAsia="Times New Roman" w:hAnsi="Arial" w:cs="Arial"/>
          <w:lang w:eastAsia="es-CL"/>
        </w:rPr>
      </w:pPr>
      <w:r w:rsidRPr="00A4473B">
        <w:rPr>
          <w:rFonts w:ascii="Arial" w:eastAsia="Times New Roman" w:hAnsi="Arial" w:cs="Arial"/>
          <w:lang w:eastAsia="es-CL"/>
        </w:rPr>
        <w:t>Los registros y documentos asociados al procedimiento serán distribuidos de la siguiente manera:</w:t>
      </w:r>
    </w:p>
    <w:p w14:paraId="52AA1D03" w14:textId="77777777" w:rsidR="00A4473B" w:rsidRPr="00A4473B" w:rsidRDefault="00A4473B" w:rsidP="00A4473B">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A4473B">
        <w:rPr>
          <w:rFonts w:ascii="Arial" w:eastAsia="Times New Roman" w:hAnsi="Arial" w:cs="Arial"/>
          <w:b/>
          <w:bCs/>
          <w:lang w:eastAsia="es-CL"/>
        </w:rPr>
        <w:t>Jefe de Servicio</w:t>
      </w:r>
      <w:r w:rsidRPr="00A4473B">
        <w:rPr>
          <w:rFonts w:ascii="Arial" w:eastAsia="Times New Roman" w:hAnsi="Arial" w:cs="Arial"/>
          <w:lang w:eastAsia="es-CL"/>
        </w:rPr>
        <w:t>: Reportes sobre conflictos de intereses y medidas adoptadas, informes de seguimiento y evaluación de salvaguardas.</w:t>
      </w:r>
    </w:p>
    <w:p w14:paraId="6327CC56" w14:textId="77777777" w:rsidR="00A4473B" w:rsidRPr="00A4473B" w:rsidRDefault="00A4473B" w:rsidP="00A4473B">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A4473B">
        <w:rPr>
          <w:rFonts w:ascii="Arial" w:eastAsia="Times New Roman" w:hAnsi="Arial" w:cs="Arial"/>
          <w:b/>
          <w:bCs/>
          <w:lang w:eastAsia="es-CL"/>
        </w:rPr>
        <w:t>Jefe de Auditoría</w:t>
      </w:r>
      <w:r w:rsidRPr="00A4473B">
        <w:rPr>
          <w:rFonts w:ascii="Arial" w:eastAsia="Times New Roman" w:hAnsi="Arial" w:cs="Arial"/>
          <w:lang w:eastAsia="es-CL"/>
        </w:rPr>
        <w:t>: Acceso completo a todos los documentos relacionados con la implementación y supervisión de las salvaguardas.</w:t>
      </w:r>
    </w:p>
    <w:p w14:paraId="08D6EDB1" w14:textId="77777777" w:rsidR="00A4473B" w:rsidRPr="00A4473B" w:rsidRDefault="00A4473B" w:rsidP="00A4473B">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A4473B">
        <w:rPr>
          <w:rFonts w:ascii="Arial" w:eastAsia="Times New Roman" w:hAnsi="Arial" w:cs="Arial"/>
          <w:b/>
          <w:bCs/>
          <w:lang w:eastAsia="es-CL"/>
        </w:rPr>
        <w:t>Supervisores y Auditores Internos</w:t>
      </w:r>
      <w:r w:rsidRPr="00A4473B">
        <w:rPr>
          <w:rFonts w:ascii="Arial" w:eastAsia="Times New Roman" w:hAnsi="Arial" w:cs="Arial"/>
          <w:lang w:eastAsia="es-CL"/>
        </w:rPr>
        <w:t>: Actas de entrega del Código de Ética, declaraciones de conflicto de intereses y documentación relevante a sus responsabilidades.</w:t>
      </w:r>
    </w:p>
    <w:p w14:paraId="386948BD" w14:textId="77777777" w:rsidR="00A4473B" w:rsidRPr="00A4473B" w:rsidRDefault="00A4473B" w:rsidP="00A4473B">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A4473B">
        <w:rPr>
          <w:rFonts w:ascii="Arial" w:eastAsia="Times New Roman" w:hAnsi="Arial" w:cs="Arial"/>
          <w:b/>
          <w:bCs/>
          <w:lang w:eastAsia="es-CL"/>
        </w:rPr>
        <w:t>Unidad de Recursos Humanos</w:t>
      </w:r>
      <w:r w:rsidRPr="00A4473B">
        <w:rPr>
          <w:rFonts w:ascii="Arial" w:eastAsia="Times New Roman" w:hAnsi="Arial" w:cs="Arial"/>
          <w:lang w:eastAsia="es-CL"/>
        </w:rPr>
        <w:t>: Registros de capacitaciones sobre objetividad y ética profesional.</w:t>
      </w:r>
    </w:p>
    <w:p w14:paraId="3A183F4C" w14:textId="77777777" w:rsidR="00A4473B" w:rsidRDefault="00A4473B" w:rsidP="00A4473B">
      <w:pPr>
        <w:numPr>
          <w:ilvl w:val="0"/>
          <w:numId w:val="25"/>
        </w:numPr>
        <w:tabs>
          <w:tab w:val="clear" w:pos="720"/>
        </w:tabs>
        <w:spacing w:before="100" w:beforeAutospacing="1" w:after="100" w:afterAutospacing="1" w:line="240" w:lineRule="auto"/>
        <w:ind w:left="426"/>
        <w:jc w:val="both"/>
        <w:rPr>
          <w:rFonts w:ascii="Arial" w:eastAsia="Times New Roman" w:hAnsi="Arial" w:cs="Arial"/>
          <w:lang w:eastAsia="es-CL"/>
        </w:rPr>
      </w:pPr>
      <w:r w:rsidRPr="00A4473B">
        <w:rPr>
          <w:rFonts w:ascii="Arial" w:eastAsia="Times New Roman" w:hAnsi="Arial" w:cs="Arial"/>
          <w:b/>
          <w:bCs/>
          <w:lang w:eastAsia="es-CL"/>
        </w:rPr>
        <w:t>Archivo General del Servicio</w:t>
      </w:r>
      <w:r w:rsidRPr="00A4473B">
        <w:rPr>
          <w:rFonts w:ascii="Arial" w:eastAsia="Times New Roman" w:hAnsi="Arial" w:cs="Arial"/>
          <w:lang w:eastAsia="es-CL"/>
        </w:rPr>
        <w:t>: Documentación transferida tras el período de almacenamiento digital establecido.</w:t>
      </w:r>
    </w:p>
    <w:p w14:paraId="3143CC33" w14:textId="20091F51" w:rsidR="00474866" w:rsidRPr="00A4473B" w:rsidRDefault="008E5C9C" w:rsidP="00A4473B">
      <w:pPr>
        <w:jc w:val="both"/>
        <w:rPr>
          <w:rFonts w:ascii="Arial" w:eastAsia="Calibri" w:hAnsi="Arial" w:cs="Arial"/>
          <w:b/>
        </w:rPr>
      </w:pPr>
      <w:r w:rsidRPr="00A4473B">
        <w:rPr>
          <w:rFonts w:ascii="Arial" w:eastAsia="Calibri" w:hAnsi="Arial" w:cs="Arial"/>
          <w:b/>
        </w:rPr>
        <w:t>10</w:t>
      </w:r>
      <w:r w:rsidR="00474866" w:rsidRPr="00A4473B">
        <w:rPr>
          <w:rFonts w:ascii="Arial" w:eastAsia="Calibri" w:hAnsi="Arial" w:cs="Arial"/>
          <w:b/>
        </w:rPr>
        <w:t>. HISTORIAL DE REVISIONES</w:t>
      </w:r>
    </w:p>
    <w:tbl>
      <w:tblPr>
        <w:tblStyle w:val="TableGrid"/>
        <w:tblW w:w="0" w:type="auto"/>
        <w:tblInd w:w="108" w:type="dxa"/>
        <w:tblLook w:val="04A0" w:firstRow="1" w:lastRow="0" w:firstColumn="1" w:lastColumn="0" w:noHBand="0" w:noVBand="1"/>
      </w:tblPr>
      <w:tblGrid>
        <w:gridCol w:w="1924"/>
        <w:gridCol w:w="1161"/>
        <w:gridCol w:w="1276"/>
        <w:gridCol w:w="2126"/>
        <w:gridCol w:w="3578"/>
      </w:tblGrid>
      <w:tr w:rsidR="00474866" w:rsidRPr="00474866" w14:paraId="481932F9" w14:textId="77777777" w:rsidTr="00CE771C">
        <w:tc>
          <w:tcPr>
            <w:tcW w:w="1924" w:type="dxa"/>
            <w:shd w:val="clear" w:color="auto" w:fill="0070C0"/>
            <w:vAlign w:val="center"/>
          </w:tcPr>
          <w:p w14:paraId="10FD9653"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Antecedente</w:t>
            </w:r>
          </w:p>
        </w:tc>
        <w:tc>
          <w:tcPr>
            <w:tcW w:w="1161" w:type="dxa"/>
            <w:shd w:val="clear" w:color="auto" w:fill="0070C0"/>
            <w:vAlign w:val="center"/>
          </w:tcPr>
          <w:p w14:paraId="6B7CA0CD"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Edición</w:t>
            </w:r>
          </w:p>
        </w:tc>
        <w:tc>
          <w:tcPr>
            <w:tcW w:w="1276" w:type="dxa"/>
            <w:shd w:val="clear" w:color="auto" w:fill="0070C0"/>
            <w:vAlign w:val="center"/>
          </w:tcPr>
          <w:p w14:paraId="2731D096"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Fecha</w:t>
            </w:r>
          </w:p>
        </w:tc>
        <w:tc>
          <w:tcPr>
            <w:tcW w:w="2126" w:type="dxa"/>
            <w:shd w:val="clear" w:color="auto" w:fill="0070C0"/>
            <w:vAlign w:val="center"/>
          </w:tcPr>
          <w:p w14:paraId="3D1BC490"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Aprobación final</w:t>
            </w:r>
          </w:p>
        </w:tc>
        <w:tc>
          <w:tcPr>
            <w:tcW w:w="3578" w:type="dxa"/>
            <w:shd w:val="clear" w:color="auto" w:fill="0070C0"/>
            <w:vAlign w:val="center"/>
          </w:tcPr>
          <w:p w14:paraId="6D509962" w14:textId="77777777" w:rsidR="00474866" w:rsidRPr="00474866" w:rsidRDefault="00474866" w:rsidP="00AA6980">
            <w:pPr>
              <w:contextualSpacing/>
              <w:jc w:val="center"/>
              <w:rPr>
                <w:rFonts w:ascii="Arial" w:eastAsia="Calibri" w:hAnsi="Arial" w:cs="Arial"/>
                <w:b/>
                <w:lang w:val="es-ES"/>
              </w:rPr>
            </w:pPr>
            <w:r w:rsidRPr="00474866">
              <w:rPr>
                <w:rFonts w:ascii="Arial" w:eastAsia="Calibri" w:hAnsi="Arial" w:cs="Arial"/>
                <w:b/>
                <w:color w:val="FFFFFF" w:themeColor="background1"/>
                <w:lang w:val="es-ES"/>
              </w:rPr>
              <w:t>Descripción del cambio</w:t>
            </w:r>
          </w:p>
        </w:tc>
      </w:tr>
      <w:tr w:rsidR="00474866" w:rsidRPr="00474866" w14:paraId="6E9A2866" w14:textId="77777777" w:rsidTr="00474866">
        <w:tc>
          <w:tcPr>
            <w:tcW w:w="1924" w:type="dxa"/>
          </w:tcPr>
          <w:p w14:paraId="09C5435E"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Emisión</w:t>
            </w:r>
          </w:p>
        </w:tc>
        <w:tc>
          <w:tcPr>
            <w:tcW w:w="1161" w:type="dxa"/>
            <w:shd w:val="clear" w:color="auto" w:fill="auto"/>
          </w:tcPr>
          <w:p w14:paraId="6FB61682" w14:textId="77777777" w:rsidR="00474866" w:rsidRPr="00474866" w:rsidRDefault="00474866" w:rsidP="00AA6980">
            <w:pPr>
              <w:contextualSpacing/>
              <w:jc w:val="center"/>
              <w:rPr>
                <w:rFonts w:ascii="Arial" w:eastAsia="Calibri" w:hAnsi="Arial" w:cs="Arial"/>
                <w:lang w:val="es-ES"/>
              </w:rPr>
            </w:pPr>
          </w:p>
        </w:tc>
        <w:tc>
          <w:tcPr>
            <w:tcW w:w="1276" w:type="dxa"/>
            <w:shd w:val="clear" w:color="auto" w:fill="auto"/>
          </w:tcPr>
          <w:p w14:paraId="378A5D42" w14:textId="77777777" w:rsidR="00474866" w:rsidRPr="00474866" w:rsidRDefault="00474866" w:rsidP="00AA6980">
            <w:pPr>
              <w:contextualSpacing/>
              <w:jc w:val="center"/>
              <w:rPr>
                <w:rFonts w:ascii="Arial" w:eastAsia="Calibri" w:hAnsi="Arial" w:cs="Arial"/>
                <w:lang w:val="es-ES"/>
              </w:rPr>
            </w:pPr>
          </w:p>
        </w:tc>
        <w:tc>
          <w:tcPr>
            <w:tcW w:w="2126" w:type="dxa"/>
            <w:shd w:val="clear" w:color="auto" w:fill="auto"/>
          </w:tcPr>
          <w:p w14:paraId="52287355" w14:textId="77777777" w:rsidR="00474866" w:rsidRPr="00474866" w:rsidRDefault="00474866" w:rsidP="00AA6980">
            <w:pPr>
              <w:contextualSpacing/>
              <w:jc w:val="center"/>
              <w:rPr>
                <w:rFonts w:ascii="Arial" w:eastAsia="Calibri" w:hAnsi="Arial" w:cs="Arial"/>
                <w:lang w:val="es-ES"/>
              </w:rPr>
            </w:pPr>
          </w:p>
        </w:tc>
        <w:tc>
          <w:tcPr>
            <w:tcW w:w="3578" w:type="dxa"/>
            <w:shd w:val="clear" w:color="auto" w:fill="auto"/>
          </w:tcPr>
          <w:p w14:paraId="74DD7338" w14:textId="77777777" w:rsidR="00474866" w:rsidRPr="00474866" w:rsidRDefault="00474866" w:rsidP="00AA6980">
            <w:pPr>
              <w:contextualSpacing/>
              <w:jc w:val="center"/>
              <w:rPr>
                <w:rFonts w:ascii="Arial" w:eastAsia="Calibri" w:hAnsi="Arial" w:cs="Arial"/>
                <w:lang w:val="es-ES"/>
              </w:rPr>
            </w:pPr>
          </w:p>
        </w:tc>
      </w:tr>
      <w:tr w:rsidR="00474866" w:rsidRPr="00474866" w14:paraId="099E9CB6" w14:textId="77777777" w:rsidTr="00474866">
        <w:tc>
          <w:tcPr>
            <w:tcW w:w="1924" w:type="dxa"/>
          </w:tcPr>
          <w:p w14:paraId="2B0CB10A"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Primera revisión </w:t>
            </w:r>
          </w:p>
        </w:tc>
        <w:tc>
          <w:tcPr>
            <w:tcW w:w="1161" w:type="dxa"/>
          </w:tcPr>
          <w:p w14:paraId="20F09A56" w14:textId="77777777" w:rsidR="00474866" w:rsidRPr="00474866" w:rsidRDefault="00474866" w:rsidP="00AA6980">
            <w:pPr>
              <w:contextualSpacing/>
              <w:jc w:val="both"/>
              <w:rPr>
                <w:rFonts w:ascii="Arial" w:eastAsia="Calibri" w:hAnsi="Arial" w:cs="Arial"/>
                <w:lang w:val="es-ES"/>
              </w:rPr>
            </w:pPr>
          </w:p>
        </w:tc>
        <w:tc>
          <w:tcPr>
            <w:tcW w:w="1276" w:type="dxa"/>
          </w:tcPr>
          <w:p w14:paraId="495D9694" w14:textId="77777777" w:rsidR="00474866" w:rsidRPr="00474866" w:rsidRDefault="00474866" w:rsidP="00AA6980">
            <w:pPr>
              <w:contextualSpacing/>
              <w:jc w:val="both"/>
              <w:rPr>
                <w:rFonts w:ascii="Arial" w:eastAsia="Calibri" w:hAnsi="Arial" w:cs="Arial"/>
                <w:lang w:val="es-ES"/>
              </w:rPr>
            </w:pPr>
          </w:p>
        </w:tc>
        <w:tc>
          <w:tcPr>
            <w:tcW w:w="2126" w:type="dxa"/>
          </w:tcPr>
          <w:p w14:paraId="26669498" w14:textId="77777777" w:rsidR="00474866" w:rsidRPr="00474866" w:rsidRDefault="00474866" w:rsidP="00AA6980">
            <w:pPr>
              <w:contextualSpacing/>
              <w:jc w:val="both"/>
              <w:rPr>
                <w:rFonts w:ascii="Arial" w:eastAsia="Calibri" w:hAnsi="Arial" w:cs="Arial"/>
                <w:lang w:val="es-ES"/>
              </w:rPr>
            </w:pPr>
          </w:p>
        </w:tc>
        <w:tc>
          <w:tcPr>
            <w:tcW w:w="3578" w:type="dxa"/>
          </w:tcPr>
          <w:p w14:paraId="485F431D" w14:textId="77777777" w:rsidR="00474866" w:rsidRPr="00474866" w:rsidRDefault="00474866" w:rsidP="00AA6980">
            <w:pPr>
              <w:contextualSpacing/>
              <w:jc w:val="both"/>
              <w:rPr>
                <w:rFonts w:ascii="Arial" w:eastAsia="Calibri" w:hAnsi="Arial" w:cs="Arial"/>
                <w:lang w:val="es-ES"/>
              </w:rPr>
            </w:pPr>
          </w:p>
        </w:tc>
      </w:tr>
      <w:tr w:rsidR="00474866" w:rsidRPr="00474866" w14:paraId="3245CE20" w14:textId="77777777" w:rsidTr="00474866">
        <w:tc>
          <w:tcPr>
            <w:tcW w:w="1924" w:type="dxa"/>
          </w:tcPr>
          <w:p w14:paraId="24EE982F"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 xml:space="preserve">Segunda revisión </w:t>
            </w:r>
          </w:p>
        </w:tc>
        <w:tc>
          <w:tcPr>
            <w:tcW w:w="1161" w:type="dxa"/>
          </w:tcPr>
          <w:p w14:paraId="7051010A" w14:textId="77777777" w:rsidR="00474866" w:rsidRPr="00474866" w:rsidRDefault="00474866" w:rsidP="00AA6980">
            <w:pPr>
              <w:contextualSpacing/>
              <w:jc w:val="both"/>
              <w:rPr>
                <w:rFonts w:ascii="Arial" w:eastAsia="Calibri" w:hAnsi="Arial" w:cs="Arial"/>
                <w:lang w:val="es-ES"/>
              </w:rPr>
            </w:pPr>
          </w:p>
        </w:tc>
        <w:tc>
          <w:tcPr>
            <w:tcW w:w="1276" w:type="dxa"/>
          </w:tcPr>
          <w:p w14:paraId="6EA1BEC9" w14:textId="77777777" w:rsidR="00474866" w:rsidRPr="00474866" w:rsidRDefault="00474866" w:rsidP="00AA6980">
            <w:pPr>
              <w:contextualSpacing/>
              <w:jc w:val="both"/>
              <w:rPr>
                <w:rFonts w:ascii="Arial" w:eastAsia="Calibri" w:hAnsi="Arial" w:cs="Arial"/>
                <w:lang w:val="es-ES"/>
              </w:rPr>
            </w:pPr>
          </w:p>
        </w:tc>
        <w:tc>
          <w:tcPr>
            <w:tcW w:w="2126" w:type="dxa"/>
          </w:tcPr>
          <w:p w14:paraId="4E21236C" w14:textId="77777777" w:rsidR="00474866" w:rsidRPr="00474866" w:rsidRDefault="00474866" w:rsidP="00AA6980">
            <w:pPr>
              <w:contextualSpacing/>
              <w:jc w:val="both"/>
              <w:rPr>
                <w:rFonts w:ascii="Arial" w:eastAsia="Calibri" w:hAnsi="Arial" w:cs="Arial"/>
                <w:lang w:val="es-ES"/>
              </w:rPr>
            </w:pPr>
          </w:p>
        </w:tc>
        <w:tc>
          <w:tcPr>
            <w:tcW w:w="3578" w:type="dxa"/>
          </w:tcPr>
          <w:p w14:paraId="6858D08E" w14:textId="77777777" w:rsidR="00474866" w:rsidRPr="00474866" w:rsidRDefault="00474866" w:rsidP="00AA6980">
            <w:pPr>
              <w:contextualSpacing/>
              <w:jc w:val="both"/>
              <w:rPr>
                <w:rFonts w:ascii="Arial" w:eastAsia="Calibri" w:hAnsi="Arial" w:cs="Arial"/>
                <w:lang w:val="es-ES"/>
              </w:rPr>
            </w:pPr>
          </w:p>
        </w:tc>
      </w:tr>
      <w:tr w:rsidR="00474866" w:rsidRPr="00474866" w14:paraId="6276670C" w14:textId="77777777" w:rsidTr="00474866">
        <w:tc>
          <w:tcPr>
            <w:tcW w:w="1924" w:type="dxa"/>
          </w:tcPr>
          <w:p w14:paraId="3B0162BD"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Tercera revisión</w:t>
            </w:r>
          </w:p>
        </w:tc>
        <w:tc>
          <w:tcPr>
            <w:tcW w:w="1161" w:type="dxa"/>
          </w:tcPr>
          <w:p w14:paraId="3F35C095" w14:textId="77777777" w:rsidR="00474866" w:rsidRPr="00474866" w:rsidRDefault="00474866" w:rsidP="00AA6980">
            <w:pPr>
              <w:contextualSpacing/>
              <w:jc w:val="both"/>
              <w:rPr>
                <w:rFonts w:ascii="Arial" w:eastAsia="Calibri" w:hAnsi="Arial" w:cs="Arial"/>
                <w:lang w:val="es-ES"/>
              </w:rPr>
            </w:pPr>
          </w:p>
        </w:tc>
        <w:tc>
          <w:tcPr>
            <w:tcW w:w="1276" w:type="dxa"/>
          </w:tcPr>
          <w:p w14:paraId="0C29D864" w14:textId="77777777" w:rsidR="00474866" w:rsidRPr="00474866" w:rsidRDefault="00474866" w:rsidP="00AA6980">
            <w:pPr>
              <w:contextualSpacing/>
              <w:jc w:val="both"/>
              <w:rPr>
                <w:rFonts w:ascii="Arial" w:eastAsia="Calibri" w:hAnsi="Arial" w:cs="Arial"/>
                <w:lang w:val="es-ES"/>
              </w:rPr>
            </w:pPr>
          </w:p>
        </w:tc>
        <w:tc>
          <w:tcPr>
            <w:tcW w:w="2126" w:type="dxa"/>
          </w:tcPr>
          <w:p w14:paraId="3C5F3A03" w14:textId="77777777" w:rsidR="00474866" w:rsidRPr="00474866" w:rsidRDefault="00474866" w:rsidP="00AA6980">
            <w:pPr>
              <w:contextualSpacing/>
              <w:jc w:val="both"/>
              <w:rPr>
                <w:rFonts w:ascii="Arial" w:eastAsia="Calibri" w:hAnsi="Arial" w:cs="Arial"/>
                <w:lang w:val="es-ES"/>
              </w:rPr>
            </w:pPr>
          </w:p>
        </w:tc>
        <w:tc>
          <w:tcPr>
            <w:tcW w:w="3578" w:type="dxa"/>
          </w:tcPr>
          <w:p w14:paraId="2C415C15" w14:textId="77777777" w:rsidR="00474866" w:rsidRPr="00474866" w:rsidRDefault="00474866" w:rsidP="00AA6980">
            <w:pPr>
              <w:contextualSpacing/>
              <w:jc w:val="both"/>
              <w:rPr>
                <w:rFonts w:ascii="Arial" w:eastAsia="Calibri" w:hAnsi="Arial" w:cs="Arial"/>
                <w:lang w:val="es-ES"/>
              </w:rPr>
            </w:pPr>
          </w:p>
        </w:tc>
      </w:tr>
      <w:tr w:rsidR="00474866" w:rsidRPr="00474866" w14:paraId="1EDD5E42" w14:textId="77777777" w:rsidTr="00474866">
        <w:tc>
          <w:tcPr>
            <w:tcW w:w="1924" w:type="dxa"/>
          </w:tcPr>
          <w:p w14:paraId="735C13E5" w14:textId="77777777" w:rsidR="00474866" w:rsidRPr="00474866" w:rsidRDefault="00474866" w:rsidP="00AA6980">
            <w:pPr>
              <w:contextualSpacing/>
              <w:jc w:val="both"/>
              <w:rPr>
                <w:rFonts w:ascii="Arial" w:eastAsia="Calibri" w:hAnsi="Arial" w:cs="Arial"/>
                <w:lang w:val="es-ES"/>
              </w:rPr>
            </w:pPr>
            <w:r w:rsidRPr="00474866">
              <w:rPr>
                <w:rFonts w:ascii="Arial" w:eastAsia="Calibri" w:hAnsi="Arial" w:cs="Arial"/>
                <w:lang w:val="es-ES"/>
              </w:rPr>
              <w:t>Cuarta revisión</w:t>
            </w:r>
          </w:p>
        </w:tc>
        <w:tc>
          <w:tcPr>
            <w:tcW w:w="1161" w:type="dxa"/>
          </w:tcPr>
          <w:p w14:paraId="2E741E8B" w14:textId="77777777" w:rsidR="00474866" w:rsidRPr="00474866" w:rsidRDefault="00474866" w:rsidP="00AA6980">
            <w:pPr>
              <w:contextualSpacing/>
              <w:jc w:val="both"/>
              <w:rPr>
                <w:rFonts w:ascii="Arial" w:eastAsia="Calibri" w:hAnsi="Arial" w:cs="Arial"/>
                <w:lang w:val="es-ES"/>
              </w:rPr>
            </w:pPr>
          </w:p>
        </w:tc>
        <w:tc>
          <w:tcPr>
            <w:tcW w:w="1276" w:type="dxa"/>
          </w:tcPr>
          <w:p w14:paraId="37C49922" w14:textId="77777777" w:rsidR="00474866" w:rsidRPr="00474866" w:rsidRDefault="00474866" w:rsidP="00AA6980">
            <w:pPr>
              <w:contextualSpacing/>
              <w:jc w:val="both"/>
              <w:rPr>
                <w:rFonts w:ascii="Arial" w:eastAsia="Calibri" w:hAnsi="Arial" w:cs="Arial"/>
                <w:lang w:val="es-ES"/>
              </w:rPr>
            </w:pPr>
          </w:p>
        </w:tc>
        <w:tc>
          <w:tcPr>
            <w:tcW w:w="2126" w:type="dxa"/>
          </w:tcPr>
          <w:p w14:paraId="0C3370A4" w14:textId="77777777" w:rsidR="00474866" w:rsidRPr="00474866" w:rsidRDefault="00474866" w:rsidP="00AA6980">
            <w:pPr>
              <w:contextualSpacing/>
              <w:jc w:val="both"/>
              <w:rPr>
                <w:rFonts w:ascii="Arial" w:eastAsia="Calibri" w:hAnsi="Arial" w:cs="Arial"/>
                <w:lang w:val="es-ES"/>
              </w:rPr>
            </w:pPr>
          </w:p>
        </w:tc>
        <w:tc>
          <w:tcPr>
            <w:tcW w:w="3578" w:type="dxa"/>
          </w:tcPr>
          <w:p w14:paraId="2C74FB67" w14:textId="77777777" w:rsidR="00474866" w:rsidRPr="00474866" w:rsidRDefault="00474866" w:rsidP="00AA6980">
            <w:pPr>
              <w:contextualSpacing/>
              <w:jc w:val="both"/>
              <w:rPr>
                <w:rFonts w:ascii="Arial" w:eastAsia="Calibri" w:hAnsi="Arial" w:cs="Arial"/>
                <w:lang w:val="es-ES"/>
              </w:rPr>
            </w:pPr>
          </w:p>
        </w:tc>
      </w:tr>
    </w:tbl>
    <w:p w14:paraId="1D4D2AA3" w14:textId="77777777" w:rsidR="00474866" w:rsidRPr="00474866" w:rsidRDefault="00474866" w:rsidP="00474866">
      <w:pPr>
        <w:pStyle w:val="BodyText2"/>
        <w:spacing w:after="0" w:line="240" w:lineRule="auto"/>
        <w:rPr>
          <w:rFonts w:ascii="Arial" w:hAnsi="Arial" w:cs="Arial"/>
          <w:b/>
          <w:lang w:val="es-CL"/>
        </w:rPr>
      </w:pPr>
    </w:p>
    <w:p w14:paraId="25C59710" w14:textId="30B520E4" w:rsidR="0063480E" w:rsidRPr="00474866" w:rsidRDefault="008E5C9C" w:rsidP="00E75A1F">
      <w:pPr>
        <w:spacing w:line="256" w:lineRule="auto"/>
        <w:contextualSpacing/>
        <w:jc w:val="both"/>
        <w:rPr>
          <w:rFonts w:ascii="Arial" w:eastAsia="Calibri" w:hAnsi="Arial" w:cs="Arial"/>
          <w:b/>
          <w:lang w:val="es-ES"/>
        </w:rPr>
      </w:pPr>
      <w:r>
        <w:rPr>
          <w:rFonts w:ascii="Arial" w:eastAsia="Calibri" w:hAnsi="Arial" w:cs="Arial"/>
          <w:b/>
          <w:lang w:val="es-ES"/>
        </w:rPr>
        <w:t>11</w:t>
      </w:r>
      <w:r w:rsidR="00474866">
        <w:rPr>
          <w:rFonts w:ascii="Arial" w:eastAsia="Calibri" w:hAnsi="Arial" w:cs="Arial"/>
          <w:b/>
          <w:lang w:val="es-ES"/>
        </w:rPr>
        <w:t xml:space="preserve">. </w:t>
      </w:r>
      <w:r w:rsidR="0063480E" w:rsidRPr="00474866">
        <w:rPr>
          <w:rFonts w:ascii="Arial" w:eastAsia="Calibri" w:hAnsi="Arial" w:cs="Arial"/>
          <w:b/>
          <w:lang w:val="es-ES"/>
        </w:rPr>
        <w:t>ANEXOS</w:t>
      </w:r>
    </w:p>
    <w:p w14:paraId="328D3FE8" w14:textId="77777777" w:rsidR="0063480E" w:rsidRPr="00474866" w:rsidRDefault="0063480E" w:rsidP="00E75A1F">
      <w:pPr>
        <w:spacing w:line="256" w:lineRule="auto"/>
        <w:contextualSpacing/>
        <w:jc w:val="both"/>
        <w:rPr>
          <w:rFonts w:ascii="Arial" w:eastAsia="Calibri" w:hAnsi="Arial" w:cs="Arial"/>
          <w:b/>
          <w:u w:val="single"/>
          <w:lang w:val="es-ES"/>
        </w:rPr>
      </w:pPr>
    </w:p>
    <w:tbl>
      <w:tblPr>
        <w:tblStyle w:val="TableGrid"/>
        <w:tblW w:w="4895" w:type="pct"/>
        <w:tblInd w:w="108" w:type="dxa"/>
        <w:tblLook w:val="04A0" w:firstRow="1" w:lastRow="0" w:firstColumn="1" w:lastColumn="0" w:noHBand="0" w:noVBand="1"/>
      </w:tblPr>
      <w:tblGrid>
        <w:gridCol w:w="1910"/>
        <w:gridCol w:w="8155"/>
      </w:tblGrid>
      <w:tr w:rsidR="00325B75" w:rsidRPr="00474866" w14:paraId="5A6AC6B3" w14:textId="77777777" w:rsidTr="00151104">
        <w:trPr>
          <w:trHeight w:val="70"/>
        </w:trPr>
        <w:tc>
          <w:tcPr>
            <w:tcW w:w="94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3D98AEBB" w14:textId="7C934F82" w:rsidR="00325B75" w:rsidRPr="00474866" w:rsidRDefault="00474866"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 xml:space="preserve">Anexo </w:t>
            </w:r>
            <w:r w:rsidR="00325B75" w:rsidRPr="00474866">
              <w:rPr>
                <w:rFonts w:ascii="Arial" w:eastAsia="Calibri" w:hAnsi="Arial" w:cs="Arial"/>
                <w:b/>
                <w:color w:val="FFFFFF" w:themeColor="background1"/>
                <w:lang w:val="es-ES"/>
              </w:rPr>
              <w:t>N°</w:t>
            </w:r>
          </w:p>
        </w:tc>
        <w:tc>
          <w:tcPr>
            <w:tcW w:w="4051"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25740F2E" w14:textId="77777777" w:rsidR="00325B75" w:rsidRPr="00474866" w:rsidRDefault="00325B75" w:rsidP="00AA6980">
            <w:pPr>
              <w:jc w:val="center"/>
              <w:rPr>
                <w:rFonts w:ascii="Arial" w:eastAsia="Calibri" w:hAnsi="Arial" w:cs="Arial"/>
                <w:b/>
                <w:color w:val="FFFFFF" w:themeColor="background1"/>
                <w:lang w:val="es-ES"/>
              </w:rPr>
            </w:pPr>
            <w:r w:rsidRPr="00474866">
              <w:rPr>
                <w:rFonts w:ascii="Arial" w:eastAsia="Calibri" w:hAnsi="Arial" w:cs="Arial"/>
                <w:b/>
                <w:color w:val="FFFFFF" w:themeColor="background1"/>
                <w:lang w:val="es-ES"/>
              </w:rPr>
              <w:t>Nombre</w:t>
            </w:r>
          </w:p>
        </w:tc>
      </w:tr>
      <w:tr w:rsidR="00325B75" w:rsidRPr="00474866" w14:paraId="62B8CAB8" w14:textId="77777777" w:rsidTr="00151104">
        <w:trPr>
          <w:trHeight w:val="420"/>
        </w:trPr>
        <w:tc>
          <w:tcPr>
            <w:tcW w:w="949" w:type="pct"/>
            <w:tcBorders>
              <w:top w:val="single" w:sz="4" w:space="0" w:color="auto"/>
              <w:left w:val="single" w:sz="4" w:space="0" w:color="auto"/>
              <w:bottom w:val="single" w:sz="4" w:space="0" w:color="auto"/>
              <w:right w:val="single" w:sz="4" w:space="0" w:color="auto"/>
            </w:tcBorders>
            <w:vAlign w:val="center"/>
          </w:tcPr>
          <w:p w14:paraId="4D5596BF" w14:textId="3570E6FD" w:rsidR="00325B75" w:rsidRPr="00474866" w:rsidRDefault="00474866" w:rsidP="00FE2A9B">
            <w:pPr>
              <w:jc w:val="center"/>
              <w:rPr>
                <w:rFonts w:ascii="Arial" w:eastAsia="Calibri" w:hAnsi="Arial" w:cs="Arial"/>
                <w:lang w:val="es-ES"/>
              </w:rPr>
            </w:pPr>
            <w:r>
              <w:rPr>
                <w:rFonts w:ascii="Arial" w:eastAsia="Calibri" w:hAnsi="Arial" w:cs="Arial"/>
                <w:lang w:val="es-ES"/>
              </w:rPr>
              <w:t>1</w:t>
            </w:r>
          </w:p>
        </w:tc>
        <w:tc>
          <w:tcPr>
            <w:tcW w:w="4051" w:type="pct"/>
            <w:tcBorders>
              <w:top w:val="single" w:sz="4" w:space="0" w:color="auto"/>
              <w:left w:val="single" w:sz="4" w:space="0" w:color="auto"/>
              <w:bottom w:val="single" w:sz="4" w:space="0" w:color="auto"/>
              <w:right w:val="single" w:sz="4" w:space="0" w:color="auto"/>
            </w:tcBorders>
            <w:vAlign w:val="center"/>
          </w:tcPr>
          <w:p w14:paraId="6784EF6E" w14:textId="26C1F2A2" w:rsidR="00325B75" w:rsidRPr="00474866" w:rsidRDefault="00325B75" w:rsidP="00AA6980">
            <w:pPr>
              <w:jc w:val="center"/>
              <w:rPr>
                <w:rFonts w:ascii="Arial" w:eastAsia="Calibri" w:hAnsi="Arial" w:cs="Arial"/>
                <w:lang w:val="es-ES"/>
              </w:rPr>
            </w:pPr>
            <w:r w:rsidRPr="00474866">
              <w:rPr>
                <w:rFonts w:ascii="Arial" w:eastAsia="Calibri" w:hAnsi="Arial" w:cs="Arial"/>
                <w:lang w:val="es-ES"/>
              </w:rPr>
              <w:t>Form</w:t>
            </w:r>
            <w:r w:rsidR="008F4E49">
              <w:rPr>
                <w:rFonts w:ascii="Arial" w:eastAsia="Calibri" w:hAnsi="Arial" w:cs="Arial"/>
                <w:lang w:val="es-ES"/>
              </w:rPr>
              <w:t>ulario</w:t>
            </w:r>
            <w:r w:rsidRPr="00474866">
              <w:rPr>
                <w:rFonts w:ascii="Arial" w:eastAsia="Calibri" w:hAnsi="Arial" w:cs="Arial"/>
                <w:lang w:val="es-ES"/>
              </w:rPr>
              <w:t xml:space="preserve"> </w:t>
            </w:r>
            <w:r w:rsidR="00785D3D">
              <w:rPr>
                <w:rFonts w:ascii="Arial" w:eastAsia="Calibri" w:hAnsi="Arial" w:cs="Arial"/>
                <w:lang w:val="es-ES"/>
              </w:rPr>
              <w:t>Acta Reunión Jefe de Servicio</w:t>
            </w:r>
            <w:r w:rsidR="00CF79B9">
              <w:rPr>
                <w:rFonts w:ascii="Arial" w:eastAsia="Calibri" w:hAnsi="Arial" w:cs="Arial"/>
                <w:lang w:val="es-ES"/>
              </w:rPr>
              <w:t xml:space="preserve"> </w:t>
            </w:r>
          </w:p>
        </w:tc>
      </w:tr>
      <w:tr w:rsidR="00325B75" w:rsidRPr="00474866" w14:paraId="151617E9" w14:textId="77777777" w:rsidTr="00151104">
        <w:trPr>
          <w:trHeight w:val="465"/>
        </w:trPr>
        <w:tc>
          <w:tcPr>
            <w:tcW w:w="949" w:type="pct"/>
            <w:tcBorders>
              <w:top w:val="single" w:sz="4" w:space="0" w:color="auto"/>
              <w:left w:val="single" w:sz="4" w:space="0" w:color="auto"/>
              <w:bottom w:val="single" w:sz="4" w:space="0" w:color="auto"/>
              <w:right w:val="single" w:sz="4" w:space="0" w:color="auto"/>
            </w:tcBorders>
            <w:vAlign w:val="center"/>
          </w:tcPr>
          <w:p w14:paraId="6645DC8B" w14:textId="46355826" w:rsidR="00325B75" w:rsidRPr="00474866" w:rsidRDefault="00474866" w:rsidP="00FE2A9B">
            <w:pPr>
              <w:jc w:val="center"/>
              <w:rPr>
                <w:rFonts w:ascii="Arial" w:eastAsia="Calibri" w:hAnsi="Arial" w:cs="Arial"/>
                <w:lang w:val="es-ES"/>
              </w:rPr>
            </w:pPr>
            <w:r>
              <w:rPr>
                <w:rFonts w:ascii="Arial" w:eastAsia="Calibri" w:hAnsi="Arial" w:cs="Arial"/>
                <w:lang w:val="es-ES"/>
              </w:rPr>
              <w:t>2</w:t>
            </w:r>
          </w:p>
        </w:tc>
        <w:tc>
          <w:tcPr>
            <w:tcW w:w="4051" w:type="pct"/>
            <w:tcBorders>
              <w:top w:val="single" w:sz="4" w:space="0" w:color="auto"/>
              <w:left w:val="single" w:sz="4" w:space="0" w:color="auto"/>
              <w:bottom w:val="single" w:sz="4" w:space="0" w:color="auto"/>
              <w:right w:val="single" w:sz="4" w:space="0" w:color="auto"/>
            </w:tcBorders>
            <w:vAlign w:val="center"/>
          </w:tcPr>
          <w:p w14:paraId="212AA953" w14:textId="12BFF9CE" w:rsidR="00325B75" w:rsidRPr="00474866" w:rsidRDefault="008F4E49" w:rsidP="00AA6980">
            <w:pPr>
              <w:jc w:val="center"/>
              <w:rPr>
                <w:rFonts w:ascii="Arial" w:eastAsia="Calibri" w:hAnsi="Arial" w:cs="Arial"/>
                <w:lang w:val="es-ES"/>
              </w:rPr>
            </w:pPr>
            <w:r w:rsidRPr="008F4E49">
              <w:rPr>
                <w:rFonts w:ascii="Arial" w:eastAsia="Calibri" w:hAnsi="Arial" w:cs="Arial"/>
                <w:lang w:val="es-ES"/>
              </w:rPr>
              <w:t xml:space="preserve">Formulario </w:t>
            </w:r>
            <w:r w:rsidR="006D2D40">
              <w:rPr>
                <w:rFonts w:ascii="Arial" w:eastAsia="Calibri" w:hAnsi="Arial" w:cs="Arial"/>
                <w:lang w:val="es-ES"/>
              </w:rPr>
              <w:t>Entrega</w:t>
            </w:r>
            <w:r w:rsidRPr="008F4E49">
              <w:rPr>
                <w:rFonts w:ascii="Arial" w:eastAsia="Calibri" w:hAnsi="Arial" w:cs="Arial"/>
                <w:lang w:val="es-ES"/>
              </w:rPr>
              <w:t xml:space="preserve"> Código de Ética</w:t>
            </w:r>
            <w:r w:rsidR="00CF79B9">
              <w:rPr>
                <w:rFonts w:ascii="Arial" w:eastAsia="Calibri" w:hAnsi="Arial" w:cs="Arial"/>
                <w:lang w:val="es-ES"/>
              </w:rPr>
              <w:t xml:space="preserve"> </w:t>
            </w:r>
          </w:p>
        </w:tc>
      </w:tr>
      <w:tr w:rsidR="00325B75" w:rsidRPr="00474866" w14:paraId="1EEE2EFC"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0BA00A95" w14:textId="0DA1C0D0" w:rsidR="00325B75" w:rsidRPr="00474866" w:rsidRDefault="00474866" w:rsidP="00FE2A9B">
            <w:pPr>
              <w:jc w:val="center"/>
              <w:rPr>
                <w:rFonts w:ascii="Arial" w:eastAsia="Calibri" w:hAnsi="Arial" w:cs="Arial"/>
                <w:lang w:val="es-ES"/>
              </w:rPr>
            </w:pPr>
            <w:r>
              <w:rPr>
                <w:rFonts w:ascii="Arial" w:eastAsia="Calibri" w:hAnsi="Arial" w:cs="Arial"/>
                <w:lang w:val="es-ES"/>
              </w:rPr>
              <w:t>3</w:t>
            </w:r>
          </w:p>
        </w:tc>
        <w:tc>
          <w:tcPr>
            <w:tcW w:w="4051" w:type="pct"/>
            <w:tcBorders>
              <w:top w:val="single" w:sz="4" w:space="0" w:color="auto"/>
              <w:left w:val="single" w:sz="4" w:space="0" w:color="auto"/>
              <w:bottom w:val="single" w:sz="4" w:space="0" w:color="auto"/>
              <w:right w:val="single" w:sz="4" w:space="0" w:color="auto"/>
            </w:tcBorders>
            <w:vAlign w:val="center"/>
          </w:tcPr>
          <w:p w14:paraId="15C2ADCE" w14:textId="5640EE6E" w:rsidR="00325B75" w:rsidRPr="00474866" w:rsidRDefault="000E10B1" w:rsidP="00AA6980">
            <w:pPr>
              <w:jc w:val="center"/>
              <w:rPr>
                <w:rFonts w:ascii="Arial" w:eastAsia="Calibri" w:hAnsi="Arial" w:cs="Arial"/>
                <w:lang w:val="es-ES"/>
              </w:rPr>
            </w:pPr>
            <w:r w:rsidRPr="000E10B1">
              <w:rPr>
                <w:rFonts w:ascii="Arial" w:eastAsia="Calibri" w:hAnsi="Arial" w:cs="Arial"/>
                <w:lang w:val="es-ES"/>
              </w:rPr>
              <w:t xml:space="preserve">Formulario </w:t>
            </w:r>
            <w:r w:rsidR="00614ADA">
              <w:rPr>
                <w:rFonts w:ascii="Arial" w:eastAsia="Calibri" w:hAnsi="Arial" w:cs="Arial"/>
                <w:lang w:val="es-ES"/>
              </w:rPr>
              <w:t>Entrega</w:t>
            </w:r>
            <w:r w:rsidRPr="000E10B1">
              <w:rPr>
                <w:rFonts w:ascii="Arial" w:eastAsia="Calibri" w:hAnsi="Arial" w:cs="Arial"/>
                <w:lang w:val="es-ES"/>
              </w:rPr>
              <w:t xml:space="preserve"> </w:t>
            </w:r>
            <w:r w:rsidR="00FE2A9B" w:rsidRPr="000E10B1">
              <w:rPr>
                <w:rFonts w:ascii="Arial" w:eastAsia="Calibri" w:hAnsi="Arial" w:cs="Arial"/>
                <w:lang w:val="es-ES"/>
              </w:rPr>
              <w:t>Otros Documentos</w:t>
            </w:r>
            <w:r w:rsidR="00CF79B9">
              <w:rPr>
                <w:rFonts w:ascii="Arial" w:eastAsia="Calibri" w:hAnsi="Arial" w:cs="Arial"/>
                <w:lang w:val="es-ES"/>
              </w:rPr>
              <w:t xml:space="preserve"> </w:t>
            </w:r>
          </w:p>
        </w:tc>
      </w:tr>
      <w:tr w:rsidR="00325B75" w:rsidRPr="00474866" w14:paraId="5781B630"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321BECF4" w14:textId="668B0C71" w:rsidR="00325B75" w:rsidRPr="00474866" w:rsidRDefault="00474866" w:rsidP="00FE2A9B">
            <w:pPr>
              <w:jc w:val="center"/>
              <w:rPr>
                <w:rFonts w:ascii="Arial" w:eastAsia="Calibri" w:hAnsi="Arial" w:cs="Arial"/>
                <w:lang w:val="es-ES"/>
              </w:rPr>
            </w:pPr>
            <w:r>
              <w:rPr>
                <w:rFonts w:ascii="Arial" w:eastAsia="Calibri" w:hAnsi="Arial" w:cs="Arial"/>
                <w:lang w:val="es-ES"/>
              </w:rPr>
              <w:t>4</w:t>
            </w:r>
          </w:p>
        </w:tc>
        <w:tc>
          <w:tcPr>
            <w:tcW w:w="4051" w:type="pct"/>
            <w:tcBorders>
              <w:top w:val="single" w:sz="4" w:space="0" w:color="auto"/>
              <w:left w:val="single" w:sz="4" w:space="0" w:color="auto"/>
              <w:bottom w:val="single" w:sz="4" w:space="0" w:color="auto"/>
              <w:right w:val="single" w:sz="4" w:space="0" w:color="auto"/>
            </w:tcBorders>
            <w:vAlign w:val="center"/>
          </w:tcPr>
          <w:p w14:paraId="745E0F66" w14:textId="4A5CCB26" w:rsidR="00325B75" w:rsidRPr="00474866" w:rsidRDefault="00FE2A9B" w:rsidP="00AA6980">
            <w:pPr>
              <w:jc w:val="center"/>
              <w:rPr>
                <w:rFonts w:ascii="Arial" w:eastAsia="Calibri" w:hAnsi="Arial" w:cs="Arial"/>
                <w:lang w:val="es-ES"/>
              </w:rPr>
            </w:pPr>
            <w:r w:rsidRPr="00FE2A9B">
              <w:rPr>
                <w:rFonts w:ascii="Arial" w:eastAsia="Calibri" w:hAnsi="Arial" w:cs="Arial"/>
                <w:lang w:val="es-ES"/>
              </w:rPr>
              <w:t>Formulario Declaración de Conflicto de Inter</w:t>
            </w:r>
            <w:r w:rsidR="007C7A8B">
              <w:rPr>
                <w:rFonts w:ascii="Arial" w:eastAsia="Calibri" w:hAnsi="Arial" w:cs="Arial"/>
                <w:lang w:val="es-ES"/>
              </w:rPr>
              <w:t>eses</w:t>
            </w:r>
            <w:r w:rsidRPr="00FE2A9B">
              <w:rPr>
                <w:rFonts w:ascii="Arial" w:eastAsia="Calibri" w:hAnsi="Arial" w:cs="Arial"/>
                <w:lang w:val="es-ES"/>
              </w:rPr>
              <w:t xml:space="preserve"> de Inicio</w:t>
            </w:r>
          </w:p>
        </w:tc>
      </w:tr>
      <w:tr w:rsidR="00325B75" w:rsidRPr="00474866" w14:paraId="362782F2"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73471DBB" w14:textId="15746E1E" w:rsidR="00325B75" w:rsidRPr="00474866" w:rsidRDefault="00474866" w:rsidP="00FE2A9B">
            <w:pPr>
              <w:jc w:val="center"/>
              <w:rPr>
                <w:rFonts w:ascii="Arial" w:eastAsia="Calibri" w:hAnsi="Arial" w:cs="Arial"/>
                <w:lang w:val="es-ES"/>
              </w:rPr>
            </w:pPr>
            <w:r>
              <w:rPr>
                <w:rFonts w:ascii="Arial" w:eastAsia="Calibri" w:hAnsi="Arial" w:cs="Arial"/>
                <w:lang w:val="es-ES"/>
              </w:rPr>
              <w:t>5</w:t>
            </w:r>
          </w:p>
        </w:tc>
        <w:tc>
          <w:tcPr>
            <w:tcW w:w="4051" w:type="pct"/>
            <w:tcBorders>
              <w:top w:val="single" w:sz="4" w:space="0" w:color="auto"/>
              <w:left w:val="single" w:sz="4" w:space="0" w:color="auto"/>
              <w:bottom w:val="single" w:sz="4" w:space="0" w:color="auto"/>
              <w:right w:val="single" w:sz="4" w:space="0" w:color="auto"/>
            </w:tcBorders>
            <w:vAlign w:val="center"/>
          </w:tcPr>
          <w:p w14:paraId="0A4C8F70" w14:textId="06B96A11" w:rsidR="00325B75" w:rsidRPr="00474866" w:rsidRDefault="00FE2A9B" w:rsidP="00AA6980">
            <w:pPr>
              <w:jc w:val="center"/>
              <w:rPr>
                <w:rFonts w:ascii="Arial" w:eastAsia="Calibri" w:hAnsi="Arial" w:cs="Arial"/>
                <w:lang w:val="es-ES"/>
              </w:rPr>
            </w:pPr>
            <w:r w:rsidRPr="00FE2A9B">
              <w:rPr>
                <w:rFonts w:ascii="Arial" w:eastAsia="Calibri" w:hAnsi="Arial" w:cs="Arial"/>
                <w:lang w:val="es-ES"/>
              </w:rPr>
              <w:t>Formulario Declaración de Conflicto de Inter</w:t>
            </w:r>
            <w:r w:rsidR="007C7A8B">
              <w:rPr>
                <w:rFonts w:ascii="Arial" w:eastAsia="Calibri" w:hAnsi="Arial" w:cs="Arial"/>
                <w:lang w:val="es-ES"/>
              </w:rPr>
              <w:t>eses</w:t>
            </w:r>
            <w:r w:rsidRPr="00FE2A9B">
              <w:rPr>
                <w:rFonts w:ascii="Arial" w:eastAsia="Calibri" w:hAnsi="Arial" w:cs="Arial"/>
                <w:lang w:val="es-ES"/>
              </w:rPr>
              <w:t xml:space="preserve"> Previo al Trabajo</w:t>
            </w:r>
          </w:p>
        </w:tc>
      </w:tr>
      <w:tr w:rsidR="000B5FEF" w:rsidRPr="00474866" w14:paraId="7B41A089" w14:textId="77777777" w:rsidTr="00151104">
        <w:trPr>
          <w:trHeight w:val="430"/>
        </w:trPr>
        <w:tc>
          <w:tcPr>
            <w:tcW w:w="949" w:type="pct"/>
            <w:tcBorders>
              <w:top w:val="single" w:sz="4" w:space="0" w:color="auto"/>
              <w:left w:val="single" w:sz="4" w:space="0" w:color="auto"/>
              <w:bottom w:val="single" w:sz="4" w:space="0" w:color="auto"/>
              <w:right w:val="single" w:sz="4" w:space="0" w:color="auto"/>
            </w:tcBorders>
            <w:vAlign w:val="center"/>
          </w:tcPr>
          <w:p w14:paraId="565719AD" w14:textId="65D7EB73" w:rsidR="000B5FEF" w:rsidRPr="005C5961" w:rsidRDefault="000B5FEF" w:rsidP="00FE2A9B">
            <w:pPr>
              <w:jc w:val="center"/>
              <w:rPr>
                <w:rFonts w:ascii="Arial" w:eastAsia="Calibri" w:hAnsi="Arial" w:cs="Arial"/>
                <w:lang w:val="es-ES"/>
              </w:rPr>
            </w:pPr>
            <w:r w:rsidRPr="005C5961">
              <w:rPr>
                <w:rFonts w:ascii="Arial" w:eastAsia="Calibri" w:hAnsi="Arial" w:cs="Arial"/>
                <w:lang w:val="es-ES"/>
              </w:rPr>
              <w:t>6</w:t>
            </w:r>
          </w:p>
        </w:tc>
        <w:tc>
          <w:tcPr>
            <w:tcW w:w="4051" w:type="pct"/>
            <w:tcBorders>
              <w:top w:val="single" w:sz="4" w:space="0" w:color="auto"/>
              <w:left w:val="single" w:sz="4" w:space="0" w:color="auto"/>
              <w:bottom w:val="single" w:sz="4" w:space="0" w:color="auto"/>
              <w:right w:val="single" w:sz="4" w:space="0" w:color="auto"/>
            </w:tcBorders>
            <w:vAlign w:val="center"/>
          </w:tcPr>
          <w:p w14:paraId="6680EE44" w14:textId="0DC1FB72" w:rsidR="000B5FEF" w:rsidRPr="005C5961" w:rsidRDefault="000B5FEF" w:rsidP="00AA6980">
            <w:pPr>
              <w:jc w:val="center"/>
              <w:rPr>
                <w:rFonts w:ascii="Arial" w:eastAsia="Calibri" w:hAnsi="Arial" w:cs="Arial"/>
                <w:lang w:val="es-ES"/>
              </w:rPr>
            </w:pPr>
            <w:r w:rsidRPr="005C5961">
              <w:rPr>
                <w:rFonts w:ascii="Arial" w:eastAsia="Calibri" w:hAnsi="Arial" w:cs="Arial"/>
                <w:lang w:val="es-ES"/>
              </w:rPr>
              <w:t>Formulario Control Avance y Cumplimiento de Desempeño.</w:t>
            </w:r>
          </w:p>
        </w:tc>
      </w:tr>
    </w:tbl>
    <w:p w14:paraId="28410719" w14:textId="77777777" w:rsidR="0063480E" w:rsidRPr="00474866" w:rsidRDefault="0063480E" w:rsidP="00E75A1F">
      <w:pPr>
        <w:spacing w:line="256" w:lineRule="auto"/>
        <w:contextualSpacing/>
        <w:jc w:val="both"/>
        <w:rPr>
          <w:rFonts w:ascii="Arial" w:eastAsia="Calibri" w:hAnsi="Arial" w:cs="Arial"/>
          <w:b/>
          <w:u w:val="single"/>
          <w:lang w:val="es-ES"/>
        </w:rPr>
      </w:pPr>
    </w:p>
    <w:sectPr w:rsidR="0063480E" w:rsidRPr="00474866" w:rsidSect="00821C34">
      <w:headerReference w:type="even" r:id="rId8"/>
      <w:headerReference w:type="default" r:id="rId9"/>
      <w:footerReference w:type="default" r:id="rId10"/>
      <w:headerReference w:type="first" r:id="rId11"/>
      <w:pgSz w:w="12240" w:h="18720" w:code="14"/>
      <w:pgMar w:top="1417" w:right="1041"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71FDC1" w14:textId="77777777" w:rsidR="008D33E8" w:rsidRDefault="008D33E8" w:rsidP="0048081F">
      <w:pPr>
        <w:spacing w:after="0" w:line="240" w:lineRule="auto"/>
      </w:pPr>
      <w:r>
        <w:separator/>
      </w:r>
    </w:p>
  </w:endnote>
  <w:endnote w:type="continuationSeparator" w:id="0">
    <w:p w14:paraId="0D48DCC5" w14:textId="77777777" w:rsidR="008D33E8" w:rsidRDefault="008D33E8" w:rsidP="0048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D20F9CF" w14:textId="77777777" w:rsidR="00474866" w:rsidRPr="00D304E6" w:rsidRDefault="00474866" w:rsidP="00474866">
        <w:pPr>
          <w:pStyle w:val="Footer"/>
          <w:jc w:val="right"/>
          <w:rPr>
            <w:lang w:val="es-ES"/>
          </w:rPr>
        </w:pPr>
        <w:r>
          <w:rPr>
            <w:lang w:val="es-ES"/>
          </w:rPr>
          <w:t xml:space="preserve">Página | </w:t>
        </w:r>
        <w:r>
          <w:fldChar w:fldCharType="begin"/>
        </w:r>
        <w:r>
          <w:instrText>PAGE   \* MERGEFORMAT</w:instrText>
        </w:r>
        <w:r>
          <w:fldChar w:fldCharType="separate"/>
        </w:r>
        <w:r w:rsidR="00271635" w:rsidRPr="00271635">
          <w:rPr>
            <w:noProof/>
            <w:lang w:val="es-ES"/>
          </w:rPr>
          <w:t>6</w:t>
        </w:r>
        <w:r>
          <w:fldChar w:fldCharType="end"/>
        </w:r>
        <w:r>
          <w:rPr>
            <w:lang w:val="es-ES"/>
          </w:rPr>
          <w:t xml:space="preserve"> </w:t>
        </w:r>
      </w:p>
    </w:sdtContent>
  </w:sdt>
  <w:p w14:paraId="640E0908" w14:textId="77777777" w:rsidR="00474866" w:rsidRDefault="004748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B1A1EC" w14:textId="77777777" w:rsidR="008D33E8" w:rsidRDefault="008D33E8" w:rsidP="0048081F">
      <w:pPr>
        <w:spacing w:after="0" w:line="240" w:lineRule="auto"/>
      </w:pPr>
      <w:r>
        <w:separator/>
      </w:r>
    </w:p>
  </w:footnote>
  <w:footnote w:type="continuationSeparator" w:id="0">
    <w:p w14:paraId="2F6F2050" w14:textId="77777777" w:rsidR="008D33E8" w:rsidRDefault="008D33E8" w:rsidP="004808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2BA1C" w14:textId="5D5B072C" w:rsidR="001176BA" w:rsidRDefault="00DD1BB2">
    <w:pPr>
      <w:pStyle w:val="Header"/>
    </w:pPr>
    <w:r>
      <w:rPr>
        <w:noProof/>
      </w:rPr>
      <w:pict w14:anchorId="0DFDD1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945626" o:spid="_x0000_s1026" type="#_x0000_t136" style="position:absolute;margin-left:0;margin-top:0;width:620.85pt;height:88.6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2457"/>
      <w:gridCol w:w="2550"/>
      <w:gridCol w:w="2061"/>
      <w:gridCol w:w="1661"/>
    </w:tblGrid>
    <w:tr w:rsidR="00550434" w14:paraId="7E292AB5" w14:textId="77777777" w:rsidTr="000C6CEA">
      <w:trPr>
        <w:trHeight w:val="276"/>
      </w:trPr>
      <w:tc>
        <w:tcPr>
          <w:tcW w:w="744" w:type="pct"/>
          <w:vMerge w:val="restart"/>
          <w:tcBorders>
            <w:top w:val="single" w:sz="4" w:space="0" w:color="auto"/>
            <w:left w:val="single" w:sz="4" w:space="0" w:color="auto"/>
            <w:bottom w:val="single" w:sz="4" w:space="0" w:color="auto"/>
            <w:right w:val="single" w:sz="4" w:space="0" w:color="auto"/>
          </w:tcBorders>
          <w:vAlign w:val="center"/>
        </w:tcPr>
        <w:p w14:paraId="2746651C" w14:textId="0688E162" w:rsidR="00550434" w:rsidRDefault="00DD1BB2" w:rsidP="000C6CEA">
          <w:pPr>
            <w:pStyle w:val="Header"/>
            <w:ind w:left="-142" w:right="-109"/>
            <w:jc w:val="center"/>
          </w:pPr>
          <w:r>
            <w:rPr>
              <w:noProof/>
            </w:rPr>
            <w:pict w14:anchorId="5DDD1C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945627" o:spid="_x0000_s1027" type="#_x0000_t136" style="position:absolute;left:0;text-align:left;margin-left:0;margin-top:0;width:620.85pt;height:88.6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0C6CEA">
            <w:rPr>
              <w:noProof/>
            </w:rPr>
            <w:drawing>
              <wp:inline distT="0" distB="0" distL="0" distR="0" wp14:anchorId="5DC104D5" wp14:editId="50E33AB7">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446" w:type="pct"/>
          <w:gridSpan w:val="3"/>
          <w:tcBorders>
            <w:left w:val="single" w:sz="4" w:space="0" w:color="auto"/>
          </w:tcBorders>
          <w:vAlign w:val="center"/>
          <w:hideMark/>
        </w:tcPr>
        <w:p w14:paraId="21643332" w14:textId="50DC1A56" w:rsidR="00550434" w:rsidRDefault="00550434" w:rsidP="00AA6980">
          <w:pPr>
            <w:pStyle w:val="Header"/>
            <w:jc w:val="center"/>
            <w:rPr>
              <w:rFonts w:ascii="Arial" w:eastAsia="Calibri" w:hAnsi="Arial" w:cs="Arial"/>
              <w:b/>
              <w:lang w:val="es-ES"/>
            </w:rPr>
          </w:pPr>
          <w:r>
            <w:rPr>
              <w:rFonts w:ascii="Arial" w:eastAsia="Calibri" w:hAnsi="Arial" w:cs="Arial"/>
              <w:b/>
              <w:lang w:val="es-ES"/>
            </w:rPr>
            <w:t xml:space="preserve">PROCEDIMIENTO </w:t>
          </w:r>
        </w:p>
        <w:p w14:paraId="5B73EE53" w14:textId="7B5CE8B3" w:rsidR="009F0291" w:rsidRPr="009F0291" w:rsidRDefault="00550434" w:rsidP="009F0291">
          <w:pPr>
            <w:pStyle w:val="Header"/>
            <w:jc w:val="center"/>
            <w:rPr>
              <w:rFonts w:ascii="Arial" w:eastAsia="Calibri" w:hAnsi="Arial" w:cs="Arial"/>
              <w:b/>
              <w:lang w:val="es-ES"/>
            </w:rPr>
          </w:pPr>
          <w:r>
            <w:rPr>
              <w:rFonts w:ascii="Arial" w:eastAsia="Calibri" w:hAnsi="Arial" w:cs="Arial"/>
              <w:b/>
              <w:lang w:val="es-ES"/>
            </w:rPr>
            <w:t>SALVAGUARDAS PARA PROTEGER Y MANTENER LA OBJETIVIDAD EN AUDITORÍA INTERNA</w:t>
          </w:r>
        </w:p>
        <w:p w14:paraId="31F41C25" w14:textId="77777777" w:rsidR="00550434" w:rsidRPr="00A60CEF" w:rsidRDefault="00550434" w:rsidP="00AA6980">
          <w:pPr>
            <w:jc w:val="center"/>
            <w:rPr>
              <w:rFonts w:ascii="Arial" w:hAnsi="Arial" w:cs="Arial"/>
              <w:b/>
            </w:rPr>
          </w:pPr>
        </w:p>
      </w:tc>
      <w:tc>
        <w:tcPr>
          <w:tcW w:w="810" w:type="pct"/>
          <w:vMerge w:val="restart"/>
          <w:vAlign w:val="center"/>
          <w:hideMark/>
        </w:tcPr>
        <w:p w14:paraId="7CE87DA5" w14:textId="77777777" w:rsidR="00550434" w:rsidRPr="007A58D1" w:rsidRDefault="00550434" w:rsidP="00AA6980">
          <w:pPr>
            <w:pStyle w:val="Header"/>
            <w:jc w:val="center"/>
          </w:pPr>
          <w:r w:rsidRPr="007A58D1">
            <w:t xml:space="preserve">Versión: </w:t>
          </w:r>
          <w:proofErr w:type="spellStart"/>
          <w:r w:rsidRPr="007A58D1">
            <w:t>xx</w:t>
          </w:r>
          <w:proofErr w:type="spellEnd"/>
        </w:p>
      </w:tc>
    </w:tr>
    <w:tr w:rsidR="00550434" w14:paraId="3E720DB3" w14:textId="77777777" w:rsidTr="00550434">
      <w:trPr>
        <w:trHeight w:val="70"/>
      </w:trPr>
      <w:tc>
        <w:tcPr>
          <w:tcW w:w="744" w:type="pct"/>
          <w:vMerge/>
          <w:tcBorders>
            <w:top w:val="single" w:sz="4" w:space="0" w:color="auto"/>
            <w:left w:val="single" w:sz="4" w:space="0" w:color="auto"/>
            <w:bottom w:val="single" w:sz="4" w:space="0" w:color="auto"/>
            <w:right w:val="single" w:sz="4" w:space="0" w:color="auto"/>
          </w:tcBorders>
          <w:vAlign w:val="center"/>
          <w:hideMark/>
        </w:tcPr>
        <w:p w14:paraId="0C58670E" w14:textId="77777777" w:rsidR="00550434" w:rsidRDefault="00550434" w:rsidP="00AA6980"/>
      </w:tc>
      <w:tc>
        <w:tcPr>
          <w:tcW w:w="1198" w:type="pct"/>
          <w:tcBorders>
            <w:left w:val="single" w:sz="4" w:space="0" w:color="auto"/>
          </w:tcBorders>
          <w:vAlign w:val="center"/>
          <w:hideMark/>
        </w:tcPr>
        <w:p w14:paraId="36763CF5" w14:textId="77777777" w:rsidR="00550434" w:rsidRPr="007A58D1" w:rsidRDefault="00550434" w:rsidP="00AA6980">
          <w:pPr>
            <w:pStyle w:val="Header"/>
            <w:jc w:val="both"/>
          </w:pPr>
          <w:r>
            <w:t>SERVICIO</w:t>
          </w:r>
          <w:r w:rsidRPr="007A58D1">
            <w:t>:</w:t>
          </w:r>
        </w:p>
      </w:tc>
      <w:tc>
        <w:tcPr>
          <w:tcW w:w="1243" w:type="pct"/>
          <w:tcBorders>
            <w:left w:val="single" w:sz="4" w:space="0" w:color="auto"/>
          </w:tcBorders>
          <w:vAlign w:val="center"/>
        </w:tcPr>
        <w:p w14:paraId="710D57AC" w14:textId="65FB432D" w:rsidR="00550434" w:rsidRPr="007A58D1" w:rsidRDefault="00550434" w:rsidP="00AA6980">
          <w:pPr>
            <w:pStyle w:val="Header"/>
            <w:jc w:val="both"/>
          </w:pPr>
          <w:r w:rsidRPr="007A58D1">
            <w:t>CODIGO:</w:t>
          </w:r>
          <w:r w:rsidR="00C92104">
            <w:t xml:space="preserve"> 02</w:t>
          </w:r>
          <w:r w:rsidR="00DD1BB2">
            <w:t>1</w:t>
          </w:r>
        </w:p>
      </w:tc>
      <w:tc>
        <w:tcPr>
          <w:tcW w:w="1005" w:type="pct"/>
          <w:vAlign w:val="center"/>
        </w:tcPr>
        <w:p w14:paraId="27E94511" w14:textId="77777777" w:rsidR="00550434" w:rsidRPr="007A58D1" w:rsidRDefault="00550434" w:rsidP="00AA6980">
          <w:pPr>
            <w:pStyle w:val="Header"/>
            <w:jc w:val="both"/>
          </w:pPr>
          <w:r w:rsidRPr="007A58D1">
            <w:t>VIGENCIA:</w:t>
          </w:r>
        </w:p>
      </w:tc>
      <w:tc>
        <w:tcPr>
          <w:tcW w:w="810" w:type="pct"/>
          <w:vMerge/>
          <w:vAlign w:val="center"/>
          <w:hideMark/>
        </w:tcPr>
        <w:p w14:paraId="3B0B6016" w14:textId="77777777" w:rsidR="00550434" w:rsidRPr="009F6386" w:rsidRDefault="00550434" w:rsidP="00AA6980">
          <w:pPr>
            <w:jc w:val="center"/>
            <w:rPr>
              <w:b/>
            </w:rPr>
          </w:pPr>
        </w:p>
      </w:tc>
    </w:tr>
  </w:tbl>
  <w:p w14:paraId="6D5BD87E" w14:textId="77777777" w:rsidR="00550434" w:rsidRDefault="0055043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CDA9A9" w14:textId="7F411F45" w:rsidR="001176BA" w:rsidRDefault="00DD1BB2">
    <w:pPr>
      <w:pStyle w:val="Header"/>
    </w:pPr>
    <w:r>
      <w:rPr>
        <w:noProof/>
      </w:rPr>
      <w:pict w14:anchorId="162E09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8945625" o:spid="_x0000_s1025" type="#_x0000_t136" style="position:absolute;margin-left:0;margin-top:0;width:620.85pt;height:88.6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9567F"/>
    <w:multiLevelType w:val="multilevel"/>
    <w:tmpl w:val="548ABF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505F3C"/>
    <w:multiLevelType w:val="hybridMultilevel"/>
    <w:tmpl w:val="198C6E6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24C30749"/>
    <w:multiLevelType w:val="multilevel"/>
    <w:tmpl w:val="7096A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C00B0B"/>
    <w:multiLevelType w:val="multilevel"/>
    <w:tmpl w:val="816475B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204273"/>
    <w:multiLevelType w:val="multilevel"/>
    <w:tmpl w:val="4C62CE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2C0D0C"/>
    <w:multiLevelType w:val="multilevel"/>
    <w:tmpl w:val="92EE41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2016F9"/>
    <w:multiLevelType w:val="multilevel"/>
    <w:tmpl w:val="220ECA3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DB4BF8"/>
    <w:multiLevelType w:val="multilevel"/>
    <w:tmpl w:val="600AF2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68A5876"/>
    <w:multiLevelType w:val="hybridMultilevel"/>
    <w:tmpl w:val="C4825106"/>
    <w:lvl w:ilvl="0" w:tplc="6A5E234C">
      <w:start w:val="2"/>
      <w:numFmt w:val="bullet"/>
      <w:lvlText w:val="-"/>
      <w:lvlJc w:val="left"/>
      <w:pPr>
        <w:ind w:left="720" w:hanging="360"/>
      </w:pPr>
      <w:rPr>
        <w:rFonts w:ascii="Arial" w:eastAsia="Times New Roman" w:hAnsi="Arial" w:cs="Arial" w:hint="default"/>
        <w:b/>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476E1D29"/>
    <w:multiLevelType w:val="multilevel"/>
    <w:tmpl w:val="C0BC5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A722B0"/>
    <w:multiLevelType w:val="multilevel"/>
    <w:tmpl w:val="4AF6103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B96747D"/>
    <w:multiLevelType w:val="multilevel"/>
    <w:tmpl w:val="338A7CA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18A61F1"/>
    <w:multiLevelType w:val="multilevel"/>
    <w:tmpl w:val="1C38E290"/>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1D0888"/>
    <w:multiLevelType w:val="multilevel"/>
    <w:tmpl w:val="4AF8604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946203"/>
    <w:multiLevelType w:val="multilevel"/>
    <w:tmpl w:val="CF50C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7221D2"/>
    <w:multiLevelType w:val="multilevel"/>
    <w:tmpl w:val="721AF3F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4D0C87"/>
    <w:multiLevelType w:val="hybridMultilevel"/>
    <w:tmpl w:val="ADBCB13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61901AC6"/>
    <w:multiLevelType w:val="multilevel"/>
    <w:tmpl w:val="35FC5196"/>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8B34D8"/>
    <w:multiLevelType w:val="multilevel"/>
    <w:tmpl w:val="C4A22B3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B1187"/>
    <w:multiLevelType w:val="hybridMultilevel"/>
    <w:tmpl w:val="94400086"/>
    <w:lvl w:ilvl="0" w:tplc="340A0001">
      <w:start w:val="1"/>
      <w:numFmt w:val="bullet"/>
      <w:lvlText w:val=""/>
      <w:lvlJc w:val="left"/>
      <w:pPr>
        <w:ind w:left="360" w:hanging="360"/>
      </w:pPr>
      <w:rPr>
        <w:rFonts w:ascii="Symbol" w:hAnsi="Symbol" w:hint="default"/>
      </w:rPr>
    </w:lvl>
    <w:lvl w:ilvl="1" w:tplc="340A000D">
      <w:start w:val="1"/>
      <w:numFmt w:val="bullet"/>
      <w:lvlText w:val=""/>
      <w:lvlJc w:val="left"/>
      <w:pPr>
        <w:ind w:left="1080" w:hanging="360"/>
      </w:pPr>
      <w:rPr>
        <w:rFonts w:ascii="Wingdings" w:hAnsi="Wingdings"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0" w15:restartNumberingAfterBreak="0">
    <w:nsid w:val="698600DF"/>
    <w:multiLevelType w:val="multilevel"/>
    <w:tmpl w:val="3B4410F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D86F1B"/>
    <w:multiLevelType w:val="hybridMultilevel"/>
    <w:tmpl w:val="F13065CC"/>
    <w:lvl w:ilvl="0" w:tplc="6A5E234C">
      <w:start w:val="2"/>
      <w:numFmt w:val="bullet"/>
      <w:lvlText w:val="-"/>
      <w:lvlJc w:val="left"/>
      <w:pPr>
        <w:ind w:left="720" w:hanging="360"/>
      </w:pPr>
      <w:rPr>
        <w:rFonts w:ascii="Arial" w:eastAsia="Times New Roman" w:hAnsi="Arial" w:cs="Arial"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719825A2"/>
    <w:multiLevelType w:val="hybridMultilevel"/>
    <w:tmpl w:val="D65663BA"/>
    <w:lvl w:ilvl="0" w:tplc="6A5E234C">
      <w:start w:val="2"/>
      <w:numFmt w:val="bullet"/>
      <w:lvlText w:val="-"/>
      <w:lvlJc w:val="left"/>
      <w:pPr>
        <w:ind w:left="720" w:hanging="360"/>
      </w:pPr>
      <w:rPr>
        <w:rFonts w:ascii="Arial" w:eastAsia="Times New Roman" w:hAnsi="Arial" w:cs="Arial" w:hint="default"/>
        <w:b/>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72102927"/>
    <w:multiLevelType w:val="hybridMultilevel"/>
    <w:tmpl w:val="03286130"/>
    <w:lvl w:ilvl="0" w:tplc="340A0001">
      <w:start w:val="1"/>
      <w:numFmt w:val="bullet"/>
      <w:lvlText w:val=""/>
      <w:lvlJc w:val="left"/>
      <w:pPr>
        <w:ind w:left="360" w:hanging="360"/>
      </w:pPr>
      <w:rPr>
        <w:rFonts w:ascii="Symbol" w:hAnsi="Symbol" w:hint="default"/>
      </w:rPr>
    </w:lvl>
    <w:lvl w:ilvl="1" w:tplc="D33C523C">
      <w:start w:val="1"/>
      <w:numFmt w:val="bullet"/>
      <w:lvlText w:val=""/>
      <w:lvlJc w:val="left"/>
      <w:pPr>
        <w:ind w:left="1080" w:hanging="360"/>
      </w:pPr>
      <w:rPr>
        <w:rFonts w:ascii="Symbol" w:hAnsi="Symbol"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4" w15:restartNumberingAfterBreak="0">
    <w:nsid w:val="74D1588F"/>
    <w:multiLevelType w:val="multilevel"/>
    <w:tmpl w:val="473AD9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1F7C80"/>
    <w:multiLevelType w:val="hybridMultilevel"/>
    <w:tmpl w:val="171CFB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7C4F2CB6"/>
    <w:multiLevelType w:val="multilevel"/>
    <w:tmpl w:val="175A5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94881399">
    <w:abstractNumId w:val="19"/>
  </w:num>
  <w:num w:numId="2" w16cid:durableId="193737262">
    <w:abstractNumId w:val="23"/>
  </w:num>
  <w:num w:numId="3" w16cid:durableId="1765300913">
    <w:abstractNumId w:val="22"/>
  </w:num>
  <w:num w:numId="4" w16cid:durableId="1154300785">
    <w:abstractNumId w:val="1"/>
  </w:num>
  <w:num w:numId="5" w16cid:durableId="352650421">
    <w:abstractNumId w:val="8"/>
  </w:num>
  <w:num w:numId="6" w16cid:durableId="587227312">
    <w:abstractNumId w:val="21"/>
  </w:num>
  <w:num w:numId="7" w16cid:durableId="99840866">
    <w:abstractNumId w:val="9"/>
  </w:num>
  <w:num w:numId="8" w16cid:durableId="573930828">
    <w:abstractNumId w:val="20"/>
  </w:num>
  <w:num w:numId="9" w16cid:durableId="1163620794">
    <w:abstractNumId w:val="5"/>
  </w:num>
  <w:num w:numId="10" w16cid:durableId="628316770">
    <w:abstractNumId w:val="24"/>
  </w:num>
  <w:num w:numId="11" w16cid:durableId="1088891714">
    <w:abstractNumId w:val="7"/>
  </w:num>
  <w:num w:numId="12" w16cid:durableId="193349440">
    <w:abstractNumId w:val="0"/>
  </w:num>
  <w:num w:numId="13" w16cid:durableId="1659310592">
    <w:abstractNumId w:val="3"/>
  </w:num>
  <w:num w:numId="14" w16cid:durableId="2133161412">
    <w:abstractNumId w:val="4"/>
  </w:num>
  <w:num w:numId="15" w16cid:durableId="1739983157">
    <w:abstractNumId w:val="16"/>
  </w:num>
  <w:num w:numId="16" w16cid:durableId="133254591">
    <w:abstractNumId w:val="18"/>
  </w:num>
  <w:num w:numId="17" w16cid:durableId="1977563633">
    <w:abstractNumId w:val="6"/>
  </w:num>
  <w:num w:numId="18" w16cid:durableId="843279390">
    <w:abstractNumId w:val="12"/>
  </w:num>
  <w:num w:numId="19" w16cid:durableId="516893129">
    <w:abstractNumId w:val="15"/>
  </w:num>
  <w:num w:numId="20" w16cid:durableId="1292713174">
    <w:abstractNumId w:val="17"/>
  </w:num>
  <w:num w:numId="21" w16cid:durableId="200094540">
    <w:abstractNumId w:val="13"/>
  </w:num>
  <w:num w:numId="22" w16cid:durableId="931277626">
    <w:abstractNumId w:val="11"/>
  </w:num>
  <w:num w:numId="23" w16cid:durableId="1624386580">
    <w:abstractNumId w:val="10"/>
  </w:num>
  <w:num w:numId="24" w16cid:durableId="1594818609">
    <w:abstractNumId w:val="25"/>
  </w:num>
  <w:num w:numId="25" w16cid:durableId="909268519">
    <w:abstractNumId w:val="14"/>
  </w:num>
  <w:num w:numId="26" w16cid:durableId="1288462480">
    <w:abstractNumId w:val="2"/>
  </w:num>
  <w:num w:numId="27" w16cid:durableId="2064596956">
    <w:abstractNumId w:val="2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3940"/>
    <w:rsid w:val="00004BF2"/>
    <w:rsid w:val="00006B54"/>
    <w:rsid w:val="00011B57"/>
    <w:rsid w:val="000120A3"/>
    <w:rsid w:val="00014177"/>
    <w:rsid w:val="0002246E"/>
    <w:rsid w:val="00025B12"/>
    <w:rsid w:val="00030041"/>
    <w:rsid w:val="00032104"/>
    <w:rsid w:val="00035F6E"/>
    <w:rsid w:val="00051E4D"/>
    <w:rsid w:val="00051F7A"/>
    <w:rsid w:val="00053ED3"/>
    <w:rsid w:val="00054939"/>
    <w:rsid w:val="00055137"/>
    <w:rsid w:val="00060E28"/>
    <w:rsid w:val="00067FC3"/>
    <w:rsid w:val="00070B2B"/>
    <w:rsid w:val="0007230F"/>
    <w:rsid w:val="00072645"/>
    <w:rsid w:val="00074446"/>
    <w:rsid w:val="00077C0C"/>
    <w:rsid w:val="00080172"/>
    <w:rsid w:val="00081F68"/>
    <w:rsid w:val="00082A7E"/>
    <w:rsid w:val="000B2F22"/>
    <w:rsid w:val="000B5FEF"/>
    <w:rsid w:val="000B7B0E"/>
    <w:rsid w:val="000C0E5B"/>
    <w:rsid w:val="000C2EEA"/>
    <w:rsid w:val="000C431A"/>
    <w:rsid w:val="000C6CEA"/>
    <w:rsid w:val="000D237D"/>
    <w:rsid w:val="000D269A"/>
    <w:rsid w:val="000D77DD"/>
    <w:rsid w:val="000E10B1"/>
    <w:rsid w:val="000E32E6"/>
    <w:rsid w:val="000F04A5"/>
    <w:rsid w:val="000F3591"/>
    <w:rsid w:val="000F41C6"/>
    <w:rsid w:val="000F6EBA"/>
    <w:rsid w:val="000F73B5"/>
    <w:rsid w:val="001062A3"/>
    <w:rsid w:val="001100D5"/>
    <w:rsid w:val="00112721"/>
    <w:rsid w:val="001176BA"/>
    <w:rsid w:val="00121235"/>
    <w:rsid w:val="0012565A"/>
    <w:rsid w:val="00135311"/>
    <w:rsid w:val="00140F3C"/>
    <w:rsid w:val="001435D0"/>
    <w:rsid w:val="00151104"/>
    <w:rsid w:val="00164B22"/>
    <w:rsid w:val="00172348"/>
    <w:rsid w:val="00177F19"/>
    <w:rsid w:val="00192157"/>
    <w:rsid w:val="0019347E"/>
    <w:rsid w:val="00195B46"/>
    <w:rsid w:val="001A3E3F"/>
    <w:rsid w:val="001B0B80"/>
    <w:rsid w:val="001B3236"/>
    <w:rsid w:val="001B76D5"/>
    <w:rsid w:val="001C0F31"/>
    <w:rsid w:val="001C2993"/>
    <w:rsid w:val="001C3940"/>
    <w:rsid w:val="001C6C95"/>
    <w:rsid w:val="001D2868"/>
    <w:rsid w:val="001D3268"/>
    <w:rsid w:val="001D5F87"/>
    <w:rsid w:val="001E1509"/>
    <w:rsid w:val="001E5E77"/>
    <w:rsid w:val="001F1C06"/>
    <w:rsid w:val="001F347B"/>
    <w:rsid w:val="00200446"/>
    <w:rsid w:val="0020174B"/>
    <w:rsid w:val="002226FF"/>
    <w:rsid w:val="002377D6"/>
    <w:rsid w:val="002463FF"/>
    <w:rsid w:val="0025792C"/>
    <w:rsid w:val="00260AAC"/>
    <w:rsid w:val="00260AE5"/>
    <w:rsid w:val="0027124C"/>
    <w:rsid w:val="00271635"/>
    <w:rsid w:val="00273164"/>
    <w:rsid w:val="002742AC"/>
    <w:rsid w:val="002851BF"/>
    <w:rsid w:val="002A4CB4"/>
    <w:rsid w:val="002A4FDB"/>
    <w:rsid w:val="002B575E"/>
    <w:rsid w:val="002C7092"/>
    <w:rsid w:val="002C7489"/>
    <w:rsid w:val="002D1BE4"/>
    <w:rsid w:val="002D3C5B"/>
    <w:rsid w:val="002D4CD4"/>
    <w:rsid w:val="002E68B9"/>
    <w:rsid w:val="002E6D04"/>
    <w:rsid w:val="00304331"/>
    <w:rsid w:val="0030725C"/>
    <w:rsid w:val="003160DB"/>
    <w:rsid w:val="00325B75"/>
    <w:rsid w:val="00335250"/>
    <w:rsid w:val="003377B9"/>
    <w:rsid w:val="003418BF"/>
    <w:rsid w:val="0034611A"/>
    <w:rsid w:val="00353A72"/>
    <w:rsid w:val="0035596F"/>
    <w:rsid w:val="00361978"/>
    <w:rsid w:val="003636DE"/>
    <w:rsid w:val="00363944"/>
    <w:rsid w:val="00370E82"/>
    <w:rsid w:val="00385048"/>
    <w:rsid w:val="003877FD"/>
    <w:rsid w:val="00387D13"/>
    <w:rsid w:val="00390BF5"/>
    <w:rsid w:val="003A0D5F"/>
    <w:rsid w:val="003A39B9"/>
    <w:rsid w:val="003A5551"/>
    <w:rsid w:val="003A5B70"/>
    <w:rsid w:val="003B5A26"/>
    <w:rsid w:val="003B7423"/>
    <w:rsid w:val="003C156F"/>
    <w:rsid w:val="003D08E2"/>
    <w:rsid w:val="003D4FC2"/>
    <w:rsid w:val="003D6B5E"/>
    <w:rsid w:val="003E00EC"/>
    <w:rsid w:val="003E2A42"/>
    <w:rsid w:val="003E2EB8"/>
    <w:rsid w:val="003E46BF"/>
    <w:rsid w:val="003E7D2F"/>
    <w:rsid w:val="003F5297"/>
    <w:rsid w:val="003F68E2"/>
    <w:rsid w:val="004016AA"/>
    <w:rsid w:val="00402D51"/>
    <w:rsid w:val="00404CCD"/>
    <w:rsid w:val="0041208D"/>
    <w:rsid w:val="00417077"/>
    <w:rsid w:val="00417308"/>
    <w:rsid w:val="00421DD6"/>
    <w:rsid w:val="00446ECA"/>
    <w:rsid w:val="00454FB8"/>
    <w:rsid w:val="00463694"/>
    <w:rsid w:val="0047017A"/>
    <w:rsid w:val="00471885"/>
    <w:rsid w:val="00472452"/>
    <w:rsid w:val="00473E1A"/>
    <w:rsid w:val="00474866"/>
    <w:rsid w:val="004802DC"/>
    <w:rsid w:val="0048081F"/>
    <w:rsid w:val="0048501E"/>
    <w:rsid w:val="00493360"/>
    <w:rsid w:val="00496B6D"/>
    <w:rsid w:val="004A1DCB"/>
    <w:rsid w:val="004A4644"/>
    <w:rsid w:val="004B650D"/>
    <w:rsid w:val="004C57CA"/>
    <w:rsid w:val="004C7BFD"/>
    <w:rsid w:val="004D4735"/>
    <w:rsid w:val="004E1F29"/>
    <w:rsid w:val="00504768"/>
    <w:rsid w:val="0051305E"/>
    <w:rsid w:val="005145E1"/>
    <w:rsid w:val="005166AD"/>
    <w:rsid w:val="00526535"/>
    <w:rsid w:val="00527478"/>
    <w:rsid w:val="00537CE3"/>
    <w:rsid w:val="00540852"/>
    <w:rsid w:val="00544F91"/>
    <w:rsid w:val="00550434"/>
    <w:rsid w:val="0055604C"/>
    <w:rsid w:val="005572DB"/>
    <w:rsid w:val="00561331"/>
    <w:rsid w:val="00565D7B"/>
    <w:rsid w:val="0057190B"/>
    <w:rsid w:val="005732A3"/>
    <w:rsid w:val="005877DA"/>
    <w:rsid w:val="00595754"/>
    <w:rsid w:val="005A3E43"/>
    <w:rsid w:val="005A41F5"/>
    <w:rsid w:val="005A7372"/>
    <w:rsid w:val="005A7C43"/>
    <w:rsid w:val="005C4B0B"/>
    <w:rsid w:val="005C5961"/>
    <w:rsid w:val="005D346D"/>
    <w:rsid w:val="005E6081"/>
    <w:rsid w:val="005F4DEA"/>
    <w:rsid w:val="005F6B68"/>
    <w:rsid w:val="0060152C"/>
    <w:rsid w:val="00614ADA"/>
    <w:rsid w:val="00623771"/>
    <w:rsid w:val="0063320C"/>
    <w:rsid w:val="0063480E"/>
    <w:rsid w:val="006374BF"/>
    <w:rsid w:val="00644555"/>
    <w:rsid w:val="006549B9"/>
    <w:rsid w:val="00655108"/>
    <w:rsid w:val="00656AF9"/>
    <w:rsid w:val="0066477D"/>
    <w:rsid w:val="00665887"/>
    <w:rsid w:val="00672381"/>
    <w:rsid w:val="006821A4"/>
    <w:rsid w:val="00684669"/>
    <w:rsid w:val="00685553"/>
    <w:rsid w:val="00696EE6"/>
    <w:rsid w:val="006A1D29"/>
    <w:rsid w:val="006A1E25"/>
    <w:rsid w:val="006A5938"/>
    <w:rsid w:val="006A6B4A"/>
    <w:rsid w:val="006B1FDF"/>
    <w:rsid w:val="006B63BF"/>
    <w:rsid w:val="006C116B"/>
    <w:rsid w:val="006C2166"/>
    <w:rsid w:val="006C3ADF"/>
    <w:rsid w:val="006C65AE"/>
    <w:rsid w:val="006D2364"/>
    <w:rsid w:val="006D2D40"/>
    <w:rsid w:val="006D3FDB"/>
    <w:rsid w:val="006D6794"/>
    <w:rsid w:val="006E271D"/>
    <w:rsid w:val="006E3BD8"/>
    <w:rsid w:val="006F15DB"/>
    <w:rsid w:val="006F27B5"/>
    <w:rsid w:val="006F4103"/>
    <w:rsid w:val="0070079C"/>
    <w:rsid w:val="007067F3"/>
    <w:rsid w:val="007323F5"/>
    <w:rsid w:val="00736E0D"/>
    <w:rsid w:val="007409AF"/>
    <w:rsid w:val="007443F6"/>
    <w:rsid w:val="00754A6A"/>
    <w:rsid w:val="0077280C"/>
    <w:rsid w:val="00775286"/>
    <w:rsid w:val="0077546D"/>
    <w:rsid w:val="0077565A"/>
    <w:rsid w:val="00782BA4"/>
    <w:rsid w:val="00785D3D"/>
    <w:rsid w:val="00787CE5"/>
    <w:rsid w:val="00790111"/>
    <w:rsid w:val="007914BE"/>
    <w:rsid w:val="00796232"/>
    <w:rsid w:val="007A0BBF"/>
    <w:rsid w:val="007A6B7E"/>
    <w:rsid w:val="007B076C"/>
    <w:rsid w:val="007B381B"/>
    <w:rsid w:val="007B38D9"/>
    <w:rsid w:val="007B4E89"/>
    <w:rsid w:val="007B50C5"/>
    <w:rsid w:val="007B5298"/>
    <w:rsid w:val="007B6D11"/>
    <w:rsid w:val="007C6DD0"/>
    <w:rsid w:val="007C7A8B"/>
    <w:rsid w:val="007D42EB"/>
    <w:rsid w:val="007D55E2"/>
    <w:rsid w:val="007D5708"/>
    <w:rsid w:val="007D7AE0"/>
    <w:rsid w:val="007E64AD"/>
    <w:rsid w:val="007E6D11"/>
    <w:rsid w:val="007F33E4"/>
    <w:rsid w:val="007F4970"/>
    <w:rsid w:val="007F7343"/>
    <w:rsid w:val="00801F55"/>
    <w:rsid w:val="00805B0B"/>
    <w:rsid w:val="00817BCF"/>
    <w:rsid w:val="00821B30"/>
    <w:rsid w:val="00821C34"/>
    <w:rsid w:val="00845776"/>
    <w:rsid w:val="008541BA"/>
    <w:rsid w:val="00854899"/>
    <w:rsid w:val="00857C7B"/>
    <w:rsid w:val="0086223B"/>
    <w:rsid w:val="00865595"/>
    <w:rsid w:val="0086595A"/>
    <w:rsid w:val="00865B87"/>
    <w:rsid w:val="00866FB7"/>
    <w:rsid w:val="00873AEA"/>
    <w:rsid w:val="0089019E"/>
    <w:rsid w:val="00894332"/>
    <w:rsid w:val="00896E51"/>
    <w:rsid w:val="008C03CE"/>
    <w:rsid w:val="008C13F1"/>
    <w:rsid w:val="008C2130"/>
    <w:rsid w:val="008C4112"/>
    <w:rsid w:val="008D33E8"/>
    <w:rsid w:val="008E35AD"/>
    <w:rsid w:val="008E3BD7"/>
    <w:rsid w:val="008E5C9C"/>
    <w:rsid w:val="008E721A"/>
    <w:rsid w:val="008F4E49"/>
    <w:rsid w:val="008F5476"/>
    <w:rsid w:val="00907BB3"/>
    <w:rsid w:val="00912B14"/>
    <w:rsid w:val="00914271"/>
    <w:rsid w:val="00917CF0"/>
    <w:rsid w:val="009211AA"/>
    <w:rsid w:val="00924331"/>
    <w:rsid w:val="00924A38"/>
    <w:rsid w:val="00932E4B"/>
    <w:rsid w:val="00933E6B"/>
    <w:rsid w:val="00934237"/>
    <w:rsid w:val="009444AD"/>
    <w:rsid w:val="00946A56"/>
    <w:rsid w:val="009510EA"/>
    <w:rsid w:val="00953999"/>
    <w:rsid w:val="00954308"/>
    <w:rsid w:val="00961AB3"/>
    <w:rsid w:val="00962D4A"/>
    <w:rsid w:val="00966B26"/>
    <w:rsid w:val="00970974"/>
    <w:rsid w:val="00970ACF"/>
    <w:rsid w:val="009721A5"/>
    <w:rsid w:val="0097575E"/>
    <w:rsid w:val="009757DB"/>
    <w:rsid w:val="00980CD9"/>
    <w:rsid w:val="00980FEE"/>
    <w:rsid w:val="00985B22"/>
    <w:rsid w:val="009942AA"/>
    <w:rsid w:val="009A0B94"/>
    <w:rsid w:val="009A56F7"/>
    <w:rsid w:val="009E4C8F"/>
    <w:rsid w:val="009F0291"/>
    <w:rsid w:val="009F346C"/>
    <w:rsid w:val="009F35C2"/>
    <w:rsid w:val="009F3E75"/>
    <w:rsid w:val="009F4C23"/>
    <w:rsid w:val="00A1066E"/>
    <w:rsid w:val="00A10D64"/>
    <w:rsid w:val="00A214E3"/>
    <w:rsid w:val="00A274D2"/>
    <w:rsid w:val="00A27D17"/>
    <w:rsid w:val="00A3454B"/>
    <w:rsid w:val="00A41692"/>
    <w:rsid w:val="00A42D87"/>
    <w:rsid w:val="00A4473B"/>
    <w:rsid w:val="00A507BE"/>
    <w:rsid w:val="00A52D58"/>
    <w:rsid w:val="00A5613F"/>
    <w:rsid w:val="00A6427F"/>
    <w:rsid w:val="00A64633"/>
    <w:rsid w:val="00A65916"/>
    <w:rsid w:val="00A66611"/>
    <w:rsid w:val="00A66C6B"/>
    <w:rsid w:val="00A7240B"/>
    <w:rsid w:val="00A835A5"/>
    <w:rsid w:val="00A84A9C"/>
    <w:rsid w:val="00A86A71"/>
    <w:rsid w:val="00A92E7C"/>
    <w:rsid w:val="00AA17AB"/>
    <w:rsid w:val="00AA26A6"/>
    <w:rsid w:val="00AA6252"/>
    <w:rsid w:val="00AC033B"/>
    <w:rsid w:val="00AC7639"/>
    <w:rsid w:val="00AE3728"/>
    <w:rsid w:val="00AE38F7"/>
    <w:rsid w:val="00AE5697"/>
    <w:rsid w:val="00AF1A85"/>
    <w:rsid w:val="00AF2D96"/>
    <w:rsid w:val="00AF7F81"/>
    <w:rsid w:val="00B00E53"/>
    <w:rsid w:val="00B07FA6"/>
    <w:rsid w:val="00B31F75"/>
    <w:rsid w:val="00B358D6"/>
    <w:rsid w:val="00B36CA5"/>
    <w:rsid w:val="00B3770E"/>
    <w:rsid w:val="00B450F4"/>
    <w:rsid w:val="00B531A5"/>
    <w:rsid w:val="00B537CF"/>
    <w:rsid w:val="00B60D75"/>
    <w:rsid w:val="00B6415B"/>
    <w:rsid w:val="00B64671"/>
    <w:rsid w:val="00B71297"/>
    <w:rsid w:val="00B91E92"/>
    <w:rsid w:val="00B94A0F"/>
    <w:rsid w:val="00B94CDC"/>
    <w:rsid w:val="00B952A2"/>
    <w:rsid w:val="00B97B7D"/>
    <w:rsid w:val="00BA016D"/>
    <w:rsid w:val="00BA16D3"/>
    <w:rsid w:val="00BA5A9B"/>
    <w:rsid w:val="00BB2329"/>
    <w:rsid w:val="00BB32C2"/>
    <w:rsid w:val="00BC2CDA"/>
    <w:rsid w:val="00BD73E3"/>
    <w:rsid w:val="00BE5504"/>
    <w:rsid w:val="00BE5FDC"/>
    <w:rsid w:val="00C01FC4"/>
    <w:rsid w:val="00C07523"/>
    <w:rsid w:val="00C16462"/>
    <w:rsid w:val="00C175FC"/>
    <w:rsid w:val="00C2226F"/>
    <w:rsid w:val="00C31289"/>
    <w:rsid w:val="00C46628"/>
    <w:rsid w:val="00C55298"/>
    <w:rsid w:val="00C61275"/>
    <w:rsid w:val="00C67BCE"/>
    <w:rsid w:val="00C7665C"/>
    <w:rsid w:val="00C83D97"/>
    <w:rsid w:val="00C92104"/>
    <w:rsid w:val="00C9372E"/>
    <w:rsid w:val="00CA2AAD"/>
    <w:rsid w:val="00CA4793"/>
    <w:rsid w:val="00CC54E7"/>
    <w:rsid w:val="00CC6E0D"/>
    <w:rsid w:val="00CD2253"/>
    <w:rsid w:val="00CD2FA1"/>
    <w:rsid w:val="00CE1C63"/>
    <w:rsid w:val="00CE24BD"/>
    <w:rsid w:val="00CE3CD0"/>
    <w:rsid w:val="00CE771C"/>
    <w:rsid w:val="00CF66B4"/>
    <w:rsid w:val="00CF79B9"/>
    <w:rsid w:val="00D077E2"/>
    <w:rsid w:val="00D10145"/>
    <w:rsid w:val="00D12444"/>
    <w:rsid w:val="00D17A50"/>
    <w:rsid w:val="00D233D2"/>
    <w:rsid w:val="00D2578E"/>
    <w:rsid w:val="00D42522"/>
    <w:rsid w:val="00D45668"/>
    <w:rsid w:val="00D4652F"/>
    <w:rsid w:val="00D52098"/>
    <w:rsid w:val="00D56EB3"/>
    <w:rsid w:val="00D576EE"/>
    <w:rsid w:val="00D62A96"/>
    <w:rsid w:val="00D668B1"/>
    <w:rsid w:val="00D71611"/>
    <w:rsid w:val="00D768A4"/>
    <w:rsid w:val="00D86840"/>
    <w:rsid w:val="00DA441F"/>
    <w:rsid w:val="00DA7CBA"/>
    <w:rsid w:val="00DB48E7"/>
    <w:rsid w:val="00DC024A"/>
    <w:rsid w:val="00DC316B"/>
    <w:rsid w:val="00DD1BB2"/>
    <w:rsid w:val="00DF27A3"/>
    <w:rsid w:val="00E04E3B"/>
    <w:rsid w:val="00E15AA2"/>
    <w:rsid w:val="00E16F2C"/>
    <w:rsid w:val="00E17C6E"/>
    <w:rsid w:val="00E20C8F"/>
    <w:rsid w:val="00E244AC"/>
    <w:rsid w:val="00E25179"/>
    <w:rsid w:val="00E318C3"/>
    <w:rsid w:val="00E33D5A"/>
    <w:rsid w:val="00E37DC3"/>
    <w:rsid w:val="00E42F42"/>
    <w:rsid w:val="00E4402A"/>
    <w:rsid w:val="00E45630"/>
    <w:rsid w:val="00E52F38"/>
    <w:rsid w:val="00E6020F"/>
    <w:rsid w:val="00E64518"/>
    <w:rsid w:val="00E75A1F"/>
    <w:rsid w:val="00E76CB0"/>
    <w:rsid w:val="00E77720"/>
    <w:rsid w:val="00E82CC7"/>
    <w:rsid w:val="00E842FA"/>
    <w:rsid w:val="00E93E1A"/>
    <w:rsid w:val="00E94C6B"/>
    <w:rsid w:val="00EB23BE"/>
    <w:rsid w:val="00EB26A5"/>
    <w:rsid w:val="00EB30EF"/>
    <w:rsid w:val="00EC4DF8"/>
    <w:rsid w:val="00EC58E4"/>
    <w:rsid w:val="00ED383D"/>
    <w:rsid w:val="00ED4566"/>
    <w:rsid w:val="00ED7A0B"/>
    <w:rsid w:val="00EF2D3C"/>
    <w:rsid w:val="00EF3302"/>
    <w:rsid w:val="00EF3B45"/>
    <w:rsid w:val="00F05D1C"/>
    <w:rsid w:val="00F10D39"/>
    <w:rsid w:val="00F22991"/>
    <w:rsid w:val="00F31467"/>
    <w:rsid w:val="00F405CE"/>
    <w:rsid w:val="00F4211E"/>
    <w:rsid w:val="00F5405C"/>
    <w:rsid w:val="00F55E47"/>
    <w:rsid w:val="00F57048"/>
    <w:rsid w:val="00F710D8"/>
    <w:rsid w:val="00FA11EB"/>
    <w:rsid w:val="00FB4D07"/>
    <w:rsid w:val="00FC3898"/>
    <w:rsid w:val="00FC6ED6"/>
    <w:rsid w:val="00FC7A50"/>
    <w:rsid w:val="00FE2A9B"/>
    <w:rsid w:val="00FE3435"/>
    <w:rsid w:val="00FF18C4"/>
    <w:rsid w:val="00FF1D81"/>
    <w:rsid w:val="00FF27BD"/>
    <w:rsid w:val="00FF57C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E0DFB7"/>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940"/>
  </w:style>
  <w:style w:type="paragraph" w:styleId="Heading1">
    <w:name w:val="heading 1"/>
    <w:basedOn w:val="Normal"/>
    <w:next w:val="Normal"/>
    <w:link w:val="Heading1Char"/>
    <w:uiPriority w:val="9"/>
    <w:qFormat/>
    <w:rsid w:val="00082A7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52653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52653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3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C3940"/>
    <w:pPr>
      <w:ind w:left="720"/>
      <w:contextualSpacing/>
    </w:pPr>
  </w:style>
  <w:style w:type="character" w:styleId="CommentReference">
    <w:name w:val="annotation reference"/>
    <w:basedOn w:val="DefaultParagraphFont"/>
    <w:uiPriority w:val="99"/>
    <w:semiHidden/>
    <w:unhideWhenUsed/>
    <w:rsid w:val="00970ACF"/>
    <w:rPr>
      <w:sz w:val="16"/>
      <w:szCs w:val="16"/>
    </w:rPr>
  </w:style>
  <w:style w:type="paragraph" w:styleId="CommentText">
    <w:name w:val="annotation text"/>
    <w:basedOn w:val="Normal"/>
    <w:link w:val="CommentTextChar"/>
    <w:uiPriority w:val="99"/>
    <w:semiHidden/>
    <w:unhideWhenUsed/>
    <w:rsid w:val="00970ACF"/>
    <w:pPr>
      <w:spacing w:line="240" w:lineRule="auto"/>
    </w:pPr>
    <w:rPr>
      <w:sz w:val="20"/>
      <w:szCs w:val="20"/>
    </w:rPr>
  </w:style>
  <w:style w:type="character" w:customStyle="1" w:styleId="CommentTextChar">
    <w:name w:val="Comment Text Char"/>
    <w:basedOn w:val="DefaultParagraphFont"/>
    <w:link w:val="CommentText"/>
    <w:uiPriority w:val="99"/>
    <w:semiHidden/>
    <w:rsid w:val="00970ACF"/>
    <w:rPr>
      <w:sz w:val="20"/>
      <w:szCs w:val="20"/>
    </w:rPr>
  </w:style>
  <w:style w:type="paragraph" w:styleId="CommentSubject">
    <w:name w:val="annotation subject"/>
    <w:basedOn w:val="CommentText"/>
    <w:next w:val="CommentText"/>
    <w:link w:val="CommentSubjectChar"/>
    <w:uiPriority w:val="99"/>
    <w:semiHidden/>
    <w:unhideWhenUsed/>
    <w:rsid w:val="00970ACF"/>
    <w:rPr>
      <w:b/>
      <w:bCs/>
    </w:rPr>
  </w:style>
  <w:style w:type="character" w:customStyle="1" w:styleId="CommentSubjectChar">
    <w:name w:val="Comment Subject Char"/>
    <w:basedOn w:val="CommentTextChar"/>
    <w:link w:val="CommentSubject"/>
    <w:uiPriority w:val="99"/>
    <w:semiHidden/>
    <w:rsid w:val="00970ACF"/>
    <w:rPr>
      <w:b/>
      <w:bCs/>
      <w:sz w:val="20"/>
      <w:szCs w:val="20"/>
    </w:rPr>
  </w:style>
  <w:style w:type="paragraph" w:styleId="BalloonText">
    <w:name w:val="Balloon Text"/>
    <w:basedOn w:val="Normal"/>
    <w:link w:val="BalloonTextChar"/>
    <w:uiPriority w:val="99"/>
    <w:semiHidden/>
    <w:unhideWhenUsed/>
    <w:rsid w:val="00970A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0ACF"/>
    <w:rPr>
      <w:rFonts w:ascii="Tahoma" w:hAnsi="Tahoma" w:cs="Tahoma"/>
      <w:sz w:val="16"/>
      <w:szCs w:val="16"/>
    </w:rPr>
  </w:style>
  <w:style w:type="character" w:customStyle="1" w:styleId="Heading1Char">
    <w:name w:val="Heading 1 Char"/>
    <w:basedOn w:val="DefaultParagraphFont"/>
    <w:link w:val="Heading1"/>
    <w:uiPriority w:val="9"/>
    <w:rsid w:val="00082A7E"/>
    <w:rPr>
      <w:rFonts w:asciiTheme="majorHAnsi" w:eastAsiaTheme="majorEastAsia" w:hAnsiTheme="majorHAnsi" w:cstheme="majorBidi"/>
      <w:color w:val="365F91" w:themeColor="accent1" w:themeShade="BF"/>
      <w:sz w:val="32"/>
      <w:szCs w:val="32"/>
    </w:rPr>
  </w:style>
  <w:style w:type="paragraph" w:styleId="Revision">
    <w:name w:val="Revision"/>
    <w:hidden/>
    <w:uiPriority w:val="99"/>
    <w:semiHidden/>
    <w:rsid w:val="00845776"/>
    <w:pPr>
      <w:spacing w:after="0" w:line="240" w:lineRule="auto"/>
    </w:pPr>
  </w:style>
  <w:style w:type="paragraph" w:styleId="Header">
    <w:name w:val="header"/>
    <w:basedOn w:val="Normal"/>
    <w:link w:val="HeaderChar"/>
    <w:uiPriority w:val="99"/>
    <w:unhideWhenUsed/>
    <w:rsid w:val="0048081F"/>
    <w:pPr>
      <w:tabs>
        <w:tab w:val="center" w:pos="4419"/>
        <w:tab w:val="right" w:pos="8838"/>
      </w:tabs>
      <w:spacing w:after="0" w:line="240" w:lineRule="auto"/>
    </w:pPr>
  </w:style>
  <w:style w:type="character" w:customStyle="1" w:styleId="HeaderChar">
    <w:name w:val="Header Char"/>
    <w:basedOn w:val="DefaultParagraphFont"/>
    <w:link w:val="Header"/>
    <w:uiPriority w:val="99"/>
    <w:rsid w:val="0048081F"/>
  </w:style>
  <w:style w:type="paragraph" w:styleId="Footer">
    <w:name w:val="footer"/>
    <w:basedOn w:val="Normal"/>
    <w:link w:val="FooterChar"/>
    <w:uiPriority w:val="99"/>
    <w:unhideWhenUsed/>
    <w:rsid w:val="0048081F"/>
    <w:pPr>
      <w:tabs>
        <w:tab w:val="center" w:pos="4419"/>
        <w:tab w:val="right" w:pos="8838"/>
      </w:tabs>
      <w:spacing w:after="0" w:line="240" w:lineRule="auto"/>
    </w:pPr>
  </w:style>
  <w:style w:type="character" w:customStyle="1" w:styleId="FooterChar">
    <w:name w:val="Footer Char"/>
    <w:basedOn w:val="DefaultParagraphFont"/>
    <w:link w:val="Footer"/>
    <w:uiPriority w:val="99"/>
    <w:rsid w:val="0048081F"/>
  </w:style>
  <w:style w:type="table" w:customStyle="1" w:styleId="Tabladelista3-nfasis11">
    <w:name w:val="Tabla de lista 3 - Énfasis 11"/>
    <w:basedOn w:val="TableNormal"/>
    <w:uiPriority w:val="48"/>
    <w:rsid w:val="00A64633"/>
    <w:pPr>
      <w:spacing w:after="0" w:line="240" w:lineRule="auto"/>
    </w:pPr>
    <w:rPr>
      <w:lang w:val="es-E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character" w:styleId="Hyperlink">
    <w:name w:val="Hyperlink"/>
    <w:basedOn w:val="DefaultParagraphFont"/>
    <w:uiPriority w:val="99"/>
    <w:unhideWhenUsed/>
    <w:rsid w:val="00A64633"/>
    <w:rPr>
      <w:color w:val="0000FF" w:themeColor="hyperlink"/>
      <w:u w:val="single"/>
    </w:rPr>
  </w:style>
  <w:style w:type="table" w:customStyle="1" w:styleId="Tablaconcuadrcula3">
    <w:name w:val="Tabla con cuadrícula3"/>
    <w:basedOn w:val="TableNormal"/>
    <w:next w:val="TableGrid"/>
    <w:uiPriority w:val="39"/>
    <w:rsid w:val="00985B22"/>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85B22"/>
    <w:pPr>
      <w:autoSpaceDE w:val="0"/>
      <w:autoSpaceDN w:val="0"/>
      <w:adjustRightInd w:val="0"/>
      <w:spacing w:after="0" w:line="240" w:lineRule="auto"/>
    </w:pPr>
    <w:rPr>
      <w:rFonts w:ascii="Arial" w:hAnsi="Arial" w:cs="Arial"/>
      <w:color w:val="000000"/>
      <w:sz w:val="24"/>
      <w:szCs w:val="24"/>
    </w:rPr>
  </w:style>
  <w:style w:type="table" w:customStyle="1" w:styleId="Tablaconcuadrcula1">
    <w:name w:val="Tabla con cuadrícula1"/>
    <w:basedOn w:val="TableNormal"/>
    <w:next w:val="TableGrid"/>
    <w:uiPriority w:val="59"/>
    <w:rsid w:val="00E75A1F"/>
    <w:pPr>
      <w:spacing w:after="0" w:line="240" w:lineRule="auto"/>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nhideWhenUsed/>
    <w:rsid w:val="00474866"/>
    <w:pPr>
      <w:spacing w:after="120" w:line="480" w:lineRule="auto"/>
      <w:jc w:val="both"/>
    </w:pPr>
    <w:rPr>
      <w:lang w:val="es-ES"/>
    </w:rPr>
  </w:style>
  <w:style w:type="character" w:customStyle="1" w:styleId="BodyText2Char">
    <w:name w:val="Body Text 2 Char"/>
    <w:basedOn w:val="DefaultParagraphFont"/>
    <w:link w:val="BodyText2"/>
    <w:rsid w:val="00474866"/>
    <w:rPr>
      <w:lang w:val="es-ES"/>
    </w:rPr>
  </w:style>
  <w:style w:type="character" w:customStyle="1" w:styleId="Heading3Char">
    <w:name w:val="Heading 3 Char"/>
    <w:basedOn w:val="DefaultParagraphFont"/>
    <w:link w:val="Heading3"/>
    <w:uiPriority w:val="9"/>
    <w:semiHidden/>
    <w:rsid w:val="00526535"/>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526535"/>
    <w:rPr>
      <w:rFonts w:asciiTheme="majorHAnsi" w:eastAsiaTheme="majorEastAsia" w:hAnsiTheme="majorHAnsi" w:cstheme="majorBidi"/>
      <w:i/>
      <w:iCs/>
      <w:color w:val="365F91" w:themeColor="accent1" w:themeShade="BF"/>
    </w:rPr>
  </w:style>
  <w:style w:type="paragraph" w:styleId="FootnoteText">
    <w:name w:val="footnote text"/>
    <w:basedOn w:val="Normal"/>
    <w:link w:val="FootnoteTextChar"/>
    <w:uiPriority w:val="99"/>
    <w:semiHidden/>
    <w:unhideWhenUsed/>
    <w:rsid w:val="00FC3898"/>
    <w:pPr>
      <w:spacing w:after="0" w:line="240" w:lineRule="auto"/>
    </w:pPr>
    <w:rPr>
      <w:sz w:val="20"/>
      <w:szCs w:val="20"/>
      <w:lang w:val="es-ES"/>
    </w:rPr>
  </w:style>
  <w:style w:type="character" w:customStyle="1" w:styleId="FootnoteTextChar">
    <w:name w:val="Footnote Text Char"/>
    <w:basedOn w:val="DefaultParagraphFont"/>
    <w:link w:val="FootnoteText"/>
    <w:uiPriority w:val="99"/>
    <w:semiHidden/>
    <w:rsid w:val="00FC3898"/>
    <w:rPr>
      <w:sz w:val="20"/>
      <w:szCs w:val="20"/>
      <w:lang w:val="es-ES"/>
    </w:rPr>
  </w:style>
  <w:style w:type="character" w:styleId="FootnoteReference">
    <w:name w:val="footnote reference"/>
    <w:basedOn w:val="DefaultParagraphFont"/>
    <w:uiPriority w:val="99"/>
    <w:semiHidden/>
    <w:unhideWhenUsed/>
    <w:rsid w:val="00FC3898"/>
    <w:rPr>
      <w:vertAlign w:val="superscript"/>
    </w:rPr>
  </w:style>
  <w:style w:type="paragraph" w:styleId="NormalWeb">
    <w:name w:val="Normal (Web)"/>
    <w:basedOn w:val="Normal"/>
    <w:uiPriority w:val="99"/>
    <w:semiHidden/>
    <w:unhideWhenUsed/>
    <w:rsid w:val="008C03CE"/>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8C03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831696">
      <w:bodyDiv w:val="1"/>
      <w:marLeft w:val="0"/>
      <w:marRight w:val="0"/>
      <w:marTop w:val="0"/>
      <w:marBottom w:val="0"/>
      <w:divBdr>
        <w:top w:val="none" w:sz="0" w:space="0" w:color="auto"/>
        <w:left w:val="none" w:sz="0" w:space="0" w:color="auto"/>
        <w:bottom w:val="none" w:sz="0" w:space="0" w:color="auto"/>
        <w:right w:val="none" w:sz="0" w:space="0" w:color="auto"/>
      </w:divBdr>
      <w:divsChild>
        <w:div w:id="248580528">
          <w:marLeft w:val="0"/>
          <w:marRight w:val="0"/>
          <w:marTop w:val="0"/>
          <w:marBottom w:val="0"/>
          <w:divBdr>
            <w:top w:val="none" w:sz="0" w:space="0" w:color="auto"/>
            <w:left w:val="none" w:sz="0" w:space="0" w:color="auto"/>
            <w:bottom w:val="none" w:sz="0" w:space="0" w:color="auto"/>
            <w:right w:val="none" w:sz="0" w:space="0" w:color="auto"/>
          </w:divBdr>
          <w:divsChild>
            <w:div w:id="1181091170">
              <w:marLeft w:val="0"/>
              <w:marRight w:val="0"/>
              <w:marTop w:val="0"/>
              <w:marBottom w:val="0"/>
              <w:divBdr>
                <w:top w:val="none" w:sz="0" w:space="0" w:color="auto"/>
                <w:left w:val="none" w:sz="0" w:space="0" w:color="auto"/>
                <w:bottom w:val="none" w:sz="0" w:space="0" w:color="auto"/>
                <w:right w:val="none" w:sz="0" w:space="0" w:color="auto"/>
              </w:divBdr>
              <w:divsChild>
                <w:div w:id="1552769673">
                  <w:marLeft w:val="0"/>
                  <w:marRight w:val="0"/>
                  <w:marTop w:val="0"/>
                  <w:marBottom w:val="0"/>
                  <w:divBdr>
                    <w:top w:val="none" w:sz="0" w:space="0" w:color="auto"/>
                    <w:left w:val="none" w:sz="0" w:space="0" w:color="auto"/>
                    <w:bottom w:val="none" w:sz="0" w:space="0" w:color="auto"/>
                    <w:right w:val="none" w:sz="0" w:space="0" w:color="auto"/>
                  </w:divBdr>
                  <w:divsChild>
                    <w:div w:id="1453597674">
                      <w:marLeft w:val="0"/>
                      <w:marRight w:val="0"/>
                      <w:marTop w:val="0"/>
                      <w:marBottom w:val="0"/>
                      <w:divBdr>
                        <w:top w:val="none" w:sz="0" w:space="0" w:color="auto"/>
                        <w:left w:val="none" w:sz="0" w:space="0" w:color="auto"/>
                        <w:bottom w:val="none" w:sz="0" w:space="0" w:color="auto"/>
                        <w:right w:val="none" w:sz="0" w:space="0" w:color="auto"/>
                      </w:divBdr>
                      <w:divsChild>
                        <w:div w:id="2028409940">
                          <w:marLeft w:val="0"/>
                          <w:marRight w:val="0"/>
                          <w:marTop w:val="0"/>
                          <w:marBottom w:val="0"/>
                          <w:divBdr>
                            <w:top w:val="none" w:sz="0" w:space="0" w:color="auto"/>
                            <w:left w:val="none" w:sz="0" w:space="0" w:color="auto"/>
                            <w:bottom w:val="none" w:sz="0" w:space="0" w:color="auto"/>
                            <w:right w:val="none" w:sz="0" w:space="0" w:color="auto"/>
                          </w:divBdr>
                          <w:divsChild>
                            <w:div w:id="1626691853">
                              <w:marLeft w:val="0"/>
                              <w:marRight w:val="0"/>
                              <w:marTop w:val="0"/>
                              <w:marBottom w:val="0"/>
                              <w:divBdr>
                                <w:top w:val="none" w:sz="0" w:space="0" w:color="auto"/>
                                <w:left w:val="none" w:sz="0" w:space="0" w:color="auto"/>
                                <w:bottom w:val="none" w:sz="0" w:space="0" w:color="auto"/>
                                <w:right w:val="none" w:sz="0" w:space="0" w:color="auto"/>
                              </w:divBdr>
                              <w:divsChild>
                                <w:div w:id="714231803">
                                  <w:marLeft w:val="0"/>
                                  <w:marRight w:val="0"/>
                                  <w:marTop w:val="0"/>
                                  <w:marBottom w:val="0"/>
                                  <w:divBdr>
                                    <w:top w:val="none" w:sz="0" w:space="0" w:color="auto"/>
                                    <w:left w:val="none" w:sz="0" w:space="0" w:color="auto"/>
                                    <w:bottom w:val="none" w:sz="0" w:space="0" w:color="auto"/>
                                    <w:right w:val="none" w:sz="0" w:space="0" w:color="auto"/>
                                  </w:divBdr>
                                  <w:divsChild>
                                    <w:div w:id="637301482">
                                      <w:marLeft w:val="0"/>
                                      <w:marRight w:val="0"/>
                                      <w:marTop w:val="0"/>
                                      <w:marBottom w:val="0"/>
                                      <w:divBdr>
                                        <w:top w:val="none" w:sz="0" w:space="0" w:color="auto"/>
                                        <w:left w:val="none" w:sz="0" w:space="0" w:color="auto"/>
                                        <w:bottom w:val="none" w:sz="0" w:space="0" w:color="auto"/>
                                        <w:right w:val="none" w:sz="0" w:space="0" w:color="auto"/>
                                      </w:divBdr>
                                      <w:divsChild>
                                        <w:div w:id="1695381720">
                                          <w:marLeft w:val="0"/>
                                          <w:marRight w:val="0"/>
                                          <w:marTop w:val="0"/>
                                          <w:marBottom w:val="0"/>
                                          <w:divBdr>
                                            <w:top w:val="none" w:sz="0" w:space="0" w:color="auto"/>
                                            <w:left w:val="none" w:sz="0" w:space="0" w:color="auto"/>
                                            <w:bottom w:val="none" w:sz="0" w:space="0" w:color="auto"/>
                                            <w:right w:val="none" w:sz="0" w:space="0" w:color="auto"/>
                                          </w:divBdr>
                                          <w:divsChild>
                                            <w:div w:id="1692024182">
                                              <w:marLeft w:val="0"/>
                                              <w:marRight w:val="0"/>
                                              <w:marTop w:val="0"/>
                                              <w:marBottom w:val="0"/>
                                              <w:divBdr>
                                                <w:top w:val="none" w:sz="0" w:space="0" w:color="auto"/>
                                                <w:left w:val="none" w:sz="0" w:space="0" w:color="auto"/>
                                                <w:bottom w:val="none" w:sz="0" w:space="0" w:color="auto"/>
                                                <w:right w:val="none" w:sz="0" w:space="0" w:color="auto"/>
                                              </w:divBdr>
                                              <w:divsChild>
                                                <w:div w:id="1296375399">
                                                  <w:marLeft w:val="0"/>
                                                  <w:marRight w:val="0"/>
                                                  <w:marTop w:val="0"/>
                                                  <w:marBottom w:val="0"/>
                                                  <w:divBdr>
                                                    <w:top w:val="none" w:sz="0" w:space="0" w:color="auto"/>
                                                    <w:left w:val="none" w:sz="0" w:space="0" w:color="auto"/>
                                                    <w:bottom w:val="none" w:sz="0" w:space="0" w:color="auto"/>
                                                    <w:right w:val="none" w:sz="0" w:space="0" w:color="auto"/>
                                                  </w:divBdr>
                                                  <w:divsChild>
                                                    <w:div w:id="19365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222266">
          <w:marLeft w:val="0"/>
          <w:marRight w:val="0"/>
          <w:marTop w:val="0"/>
          <w:marBottom w:val="0"/>
          <w:divBdr>
            <w:top w:val="none" w:sz="0" w:space="0" w:color="auto"/>
            <w:left w:val="none" w:sz="0" w:space="0" w:color="auto"/>
            <w:bottom w:val="none" w:sz="0" w:space="0" w:color="auto"/>
            <w:right w:val="none" w:sz="0" w:space="0" w:color="auto"/>
          </w:divBdr>
          <w:divsChild>
            <w:div w:id="1229615638">
              <w:marLeft w:val="0"/>
              <w:marRight w:val="0"/>
              <w:marTop w:val="0"/>
              <w:marBottom w:val="0"/>
              <w:divBdr>
                <w:top w:val="none" w:sz="0" w:space="0" w:color="auto"/>
                <w:left w:val="none" w:sz="0" w:space="0" w:color="auto"/>
                <w:bottom w:val="none" w:sz="0" w:space="0" w:color="auto"/>
                <w:right w:val="none" w:sz="0" w:space="0" w:color="auto"/>
              </w:divBdr>
              <w:divsChild>
                <w:div w:id="1184637723">
                  <w:marLeft w:val="0"/>
                  <w:marRight w:val="0"/>
                  <w:marTop w:val="0"/>
                  <w:marBottom w:val="0"/>
                  <w:divBdr>
                    <w:top w:val="none" w:sz="0" w:space="0" w:color="auto"/>
                    <w:left w:val="none" w:sz="0" w:space="0" w:color="auto"/>
                    <w:bottom w:val="none" w:sz="0" w:space="0" w:color="auto"/>
                    <w:right w:val="none" w:sz="0" w:space="0" w:color="auto"/>
                  </w:divBdr>
                  <w:divsChild>
                    <w:div w:id="1476678533">
                      <w:marLeft w:val="0"/>
                      <w:marRight w:val="0"/>
                      <w:marTop w:val="0"/>
                      <w:marBottom w:val="0"/>
                      <w:divBdr>
                        <w:top w:val="none" w:sz="0" w:space="0" w:color="auto"/>
                        <w:left w:val="none" w:sz="0" w:space="0" w:color="auto"/>
                        <w:bottom w:val="none" w:sz="0" w:space="0" w:color="auto"/>
                        <w:right w:val="none" w:sz="0" w:space="0" w:color="auto"/>
                      </w:divBdr>
                      <w:divsChild>
                        <w:div w:id="1835602874">
                          <w:marLeft w:val="0"/>
                          <w:marRight w:val="0"/>
                          <w:marTop w:val="0"/>
                          <w:marBottom w:val="0"/>
                          <w:divBdr>
                            <w:top w:val="none" w:sz="0" w:space="0" w:color="auto"/>
                            <w:left w:val="none" w:sz="0" w:space="0" w:color="auto"/>
                            <w:bottom w:val="none" w:sz="0" w:space="0" w:color="auto"/>
                            <w:right w:val="none" w:sz="0" w:space="0" w:color="auto"/>
                          </w:divBdr>
                          <w:divsChild>
                            <w:div w:id="68626484">
                              <w:marLeft w:val="0"/>
                              <w:marRight w:val="0"/>
                              <w:marTop w:val="0"/>
                              <w:marBottom w:val="0"/>
                              <w:divBdr>
                                <w:top w:val="none" w:sz="0" w:space="0" w:color="auto"/>
                                <w:left w:val="none" w:sz="0" w:space="0" w:color="auto"/>
                                <w:bottom w:val="none" w:sz="0" w:space="0" w:color="auto"/>
                                <w:right w:val="none" w:sz="0" w:space="0" w:color="auto"/>
                              </w:divBdr>
                              <w:divsChild>
                                <w:div w:id="70205585">
                                  <w:marLeft w:val="0"/>
                                  <w:marRight w:val="0"/>
                                  <w:marTop w:val="0"/>
                                  <w:marBottom w:val="0"/>
                                  <w:divBdr>
                                    <w:top w:val="none" w:sz="0" w:space="0" w:color="auto"/>
                                    <w:left w:val="none" w:sz="0" w:space="0" w:color="auto"/>
                                    <w:bottom w:val="none" w:sz="0" w:space="0" w:color="auto"/>
                                    <w:right w:val="none" w:sz="0" w:space="0" w:color="auto"/>
                                  </w:divBdr>
                                  <w:divsChild>
                                    <w:div w:id="1695155881">
                                      <w:marLeft w:val="0"/>
                                      <w:marRight w:val="0"/>
                                      <w:marTop w:val="0"/>
                                      <w:marBottom w:val="0"/>
                                      <w:divBdr>
                                        <w:top w:val="none" w:sz="0" w:space="0" w:color="auto"/>
                                        <w:left w:val="none" w:sz="0" w:space="0" w:color="auto"/>
                                        <w:bottom w:val="none" w:sz="0" w:space="0" w:color="auto"/>
                                        <w:right w:val="none" w:sz="0" w:space="0" w:color="auto"/>
                                      </w:divBdr>
                                      <w:divsChild>
                                        <w:div w:id="1182863647">
                                          <w:marLeft w:val="0"/>
                                          <w:marRight w:val="0"/>
                                          <w:marTop w:val="0"/>
                                          <w:marBottom w:val="0"/>
                                          <w:divBdr>
                                            <w:top w:val="none" w:sz="0" w:space="0" w:color="auto"/>
                                            <w:left w:val="none" w:sz="0" w:space="0" w:color="auto"/>
                                            <w:bottom w:val="none" w:sz="0" w:space="0" w:color="auto"/>
                                            <w:right w:val="none" w:sz="0" w:space="0" w:color="auto"/>
                                          </w:divBdr>
                                          <w:divsChild>
                                            <w:div w:id="1027372977">
                                              <w:marLeft w:val="0"/>
                                              <w:marRight w:val="0"/>
                                              <w:marTop w:val="0"/>
                                              <w:marBottom w:val="0"/>
                                              <w:divBdr>
                                                <w:top w:val="none" w:sz="0" w:space="0" w:color="auto"/>
                                                <w:left w:val="none" w:sz="0" w:space="0" w:color="auto"/>
                                                <w:bottom w:val="none" w:sz="0" w:space="0" w:color="auto"/>
                                                <w:right w:val="none" w:sz="0" w:space="0" w:color="auto"/>
                                              </w:divBdr>
                                              <w:divsChild>
                                                <w:div w:id="86734060">
                                                  <w:marLeft w:val="0"/>
                                                  <w:marRight w:val="0"/>
                                                  <w:marTop w:val="0"/>
                                                  <w:marBottom w:val="0"/>
                                                  <w:divBdr>
                                                    <w:top w:val="none" w:sz="0" w:space="0" w:color="auto"/>
                                                    <w:left w:val="none" w:sz="0" w:space="0" w:color="auto"/>
                                                    <w:bottom w:val="none" w:sz="0" w:space="0" w:color="auto"/>
                                                    <w:right w:val="none" w:sz="0" w:space="0" w:color="auto"/>
                                                  </w:divBdr>
                                                  <w:divsChild>
                                                    <w:div w:id="546839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810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34013583">
      <w:bodyDiv w:val="1"/>
      <w:marLeft w:val="0"/>
      <w:marRight w:val="0"/>
      <w:marTop w:val="0"/>
      <w:marBottom w:val="0"/>
      <w:divBdr>
        <w:top w:val="none" w:sz="0" w:space="0" w:color="auto"/>
        <w:left w:val="none" w:sz="0" w:space="0" w:color="auto"/>
        <w:bottom w:val="none" w:sz="0" w:space="0" w:color="auto"/>
        <w:right w:val="none" w:sz="0" w:space="0" w:color="auto"/>
      </w:divBdr>
    </w:div>
    <w:div w:id="777682900">
      <w:bodyDiv w:val="1"/>
      <w:marLeft w:val="0"/>
      <w:marRight w:val="0"/>
      <w:marTop w:val="0"/>
      <w:marBottom w:val="0"/>
      <w:divBdr>
        <w:top w:val="none" w:sz="0" w:space="0" w:color="auto"/>
        <w:left w:val="none" w:sz="0" w:space="0" w:color="auto"/>
        <w:bottom w:val="none" w:sz="0" w:space="0" w:color="auto"/>
        <w:right w:val="none" w:sz="0" w:space="0" w:color="auto"/>
      </w:divBdr>
    </w:div>
    <w:div w:id="1469087697">
      <w:bodyDiv w:val="1"/>
      <w:marLeft w:val="0"/>
      <w:marRight w:val="0"/>
      <w:marTop w:val="0"/>
      <w:marBottom w:val="0"/>
      <w:divBdr>
        <w:top w:val="none" w:sz="0" w:space="0" w:color="auto"/>
        <w:left w:val="none" w:sz="0" w:space="0" w:color="auto"/>
        <w:bottom w:val="none" w:sz="0" w:space="0" w:color="auto"/>
        <w:right w:val="none" w:sz="0" w:space="0" w:color="auto"/>
      </w:divBdr>
    </w:div>
    <w:div w:id="1532300228">
      <w:bodyDiv w:val="1"/>
      <w:marLeft w:val="0"/>
      <w:marRight w:val="0"/>
      <w:marTop w:val="0"/>
      <w:marBottom w:val="0"/>
      <w:divBdr>
        <w:top w:val="none" w:sz="0" w:space="0" w:color="auto"/>
        <w:left w:val="none" w:sz="0" w:space="0" w:color="auto"/>
        <w:bottom w:val="none" w:sz="0" w:space="0" w:color="auto"/>
        <w:right w:val="none" w:sz="0" w:space="0" w:color="auto"/>
      </w:divBdr>
    </w:div>
    <w:div w:id="1688171094">
      <w:bodyDiv w:val="1"/>
      <w:marLeft w:val="0"/>
      <w:marRight w:val="0"/>
      <w:marTop w:val="0"/>
      <w:marBottom w:val="0"/>
      <w:divBdr>
        <w:top w:val="none" w:sz="0" w:space="0" w:color="auto"/>
        <w:left w:val="none" w:sz="0" w:space="0" w:color="auto"/>
        <w:bottom w:val="none" w:sz="0" w:space="0" w:color="auto"/>
        <w:right w:val="none" w:sz="0" w:space="0" w:color="auto"/>
      </w:divBdr>
      <w:divsChild>
        <w:div w:id="191311091">
          <w:marLeft w:val="0"/>
          <w:marRight w:val="0"/>
          <w:marTop w:val="0"/>
          <w:marBottom w:val="0"/>
          <w:divBdr>
            <w:top w:val="none" w:sz="0" w:space="0" w:color="auto"/>
            <w:left w:val="none" w:sz="0" w:space="0" w:color="auto"/>
            <w:bottom w:val="none" w:sz="0" w:space="0" w:color="auto"/>
            <w:right w:val="none" w:sz="0" w:space="0" w:color="auto"/>
          </w:divBdr>
        </w:div>
        <w:div w:id="2023434349">
          <w:marLeft w:val="0"/>
          <w:marRight w:val="0"/>
          <w:marTop w:val="75"/>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C05E3A-B498-49A4-9D45-0083F325F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2508</TotalTime>
  <Pages>8</Pages>
  <Words>3092</Words>
  <Characters>17009</Characters>
  <Application>Microsoft Office Word</Application>
  <DocSecurity>0</DocSecurity>
  <Lines>141</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147</cp:revision>
  <cp:lastPrinted>2021-04-13T13:39:00Z</cp:lastPrinted>
  <dcterms:created xsi:type="dcterms:W3CDTF">2021-06-22T18:04:00Z</dcterms:created>
  <dcterms:modified xsi:type="dcterms:W3CDTF">2025-03-13T19:01:00Z</dcterms:modified>
</cp:coreProperties>
</file>